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8376" w14:textId="77777777" w:rsidR="000F212A" w:rsidRPr="000F212A" w:rsidRDefault="000F212A" w:rsidP="000F212A">
      <w:pPr>
        <w:numPr>
          <w:ilvl w:val="0"/>
          <w:numId w:val="0"/>
        </w:numPr>
        <w:jc w:val="center"/>
      </w:pPr>
      <w:r w:rsidRPr="000F212A">
        <w:t>Town and Country Planning Act 1990 – Section 78</w:t>
      </w:r>
      <w:r w:rsidRPr="000F212A">
        <w:br/>
        <w:t>Town and Country Planning (Development Management Procedure) (England) Order 2013</w:t>
      </w:r>
      <w:r w:rsidRPr="000F212A">
        <w:br/>
        <w:t>Town and Country Planning (Inquiries Procedure) (England) Rules 2000</w:t>
      </w:r>
    </w:p>
    <w:p w14:paraId="26971D4F" w14:textId="77777777" w:rsidR="000F212A" w:rsidRDefault="000F212A" w:rsidP="000F212A">
      <w:pPr>
        <w:numPr>
          <w:ilvl w:val="0"/>
          <w:numId w:val="0"/>
        </w:numPr>
        <w:jc w:val="center"/>
        <w:rPr>
          <w:b/>
        </w:rPr>
      </w:pPr>
    </w:p>
    <w:p w14:paraId="0E4C3891" w14:textId="320E3EC2" w:rsidR="000F212A" w:rsidRDefault="000F212A" w:rsidP="000F212A">
      <w:pPr>
        <w:numPr>
          <w:ilvl w:val="0"/>
          <w:numId w:val="0"/>
        </w:numPr>
        <w:jc w:val="center"/>
        <w:rPr>
          <w:b/>
          <w:sz w:val="28"/>
          <w:szCs w:val="28"/>
        </w:rPr>
      </w:pPr>
      <w:r>
        <w:rPr>
          <w:b/>
          <w:sz w:val="28"/>
          <w:szCs w:val="28"/>
        </w:rPr>
        <w:t xml:space="preserve">Appeal by </w:t>
      </w:r>
      <w:r w:rsidR="002D5D1F">
        <w:rPr>
          <w:b/>
          <w:sz w:val="28"/>
          <w:szCs w:val="28"/>
        </w:rPr>
        <w:t>Barwood Development Securities Ltd</w:t>
      </w:r>
      <w:r w:rsidR="00CD6ED0">
        <w:rPr>
          <w:b/>
          <w:sz w:val="28"/>
          <w:szCs w:val="28"/>
        </w:rPr>
        <w:t xml:space="preserve"> </w:t>
      </w:r>
      <w:r w:rsidR="00CD6ED0">
        <w:rPr>
          <w:b/>
          <w:noProof/>
          <w:sz w:val="28"/>
          <w:szCs w:val="28"/>
        </w:rPr>
        <w:t>and the North West Thornbury Landowner Consortium</w:t>
      </w:r>
    </w:p>
    <w:p w14:paraId="1D22D67D" w14:textId="5E3C75EA" w:rsidR="000F212A" w:rsidRDefault="000F212A" w:rsidP="000F212A">
      <w:pPr>
        <w:numPr>
          <w:ilvl w:val="0"/>
          <w:numId w:val="0"/>
        </w:numPr>
        <w:jc w:val="center"/>
        <w:rPr>
          <w:b/>
          <w:sz w:val="28"/>
          <w:szCs w:val="28"/>
        </w:rPr>
      </w:pPr>
      <w:r>
        <w:rPr>
          <w:b/>
          <w:sz w:val="28"/>
          <w:szCs w:val="28"/>
        </w:rPr>
        <w:t>L</w:t>
      </w:r>
      <w:r w:rsidRPr="000F212A">
        <w:rPr>
          <w:b/>
          <w:sz w:val="28"/>
          <w:szCs w:val="28"/>
        </w:rPr>
        <w:t xml:space="preserve">and </w:t>
      </w:r>
      <w:r w:rsidR="002D5D1F">
        <w:rPr>
          <w:b/>
          <w:sz w:val="28"/>
          <w:szCs w:val="28"/>
        </w:rPr>
        <w:t>to the west of Park Farm, Butt Lane, Thornbury</w:t>
      </w:r>
    </w:p>
    <w:p w14:paraId="5C8B3BA5" w14:textId="77777777" w:rsidR="000F212A" w:rsidRDefault="000F212A" w:rsidP="000F212A">
      <w:pPr>
        <w:numPr>
          <w:ilvl w:val="0"/>
          <w:numId w:val="0"/>
        </w:numPr>
        <w:jc w:val="center"/>
        <w:rPr>
          <w:b/>
          <w:sz w:val="28"/>
          <w:szCs w:val="28"/>
        </w:rPr>
      </w:pPr>
    </w:p>
    <w:p w14:paraId="647C18A8" w14:textId="2E3F4F54" w:rsidR="000F212A" w:rsidRPr="000F212A" w:rsidRDefault="000F212A" w:rsidP="000F212A">
      <w:pPr>
        <w:numPr>
          <w:ilvl w:val="0"/>
          <w:numId w:val="0"/>
        </w:numPr>
        <w:jc w:val="center"/>
        <w:rPr>
          <w:szCs w:val="24"/>
        </w:rPr>
      </w:pPr>
      <w:r w:rsidRPr="000F212A">
        <w:rPr>
          <w:szCs w:val="24"/>
        </w:rPr>
        <w:t xml:space="preserve">Against the </w:t>
      </w:r>
      <w:r w:rsidR="002D5D1F">
        <w:rPr>
          <w:szCs w:val="24"/>
        </w:rPr>
        <w:t>failure to determine a planning application within the relevant timescale</w:t>
      </w:r>
      <w:r w:rsidRPr="000F212A">
        <w:rPr>
          <w:szCs w:val="24"/>
        </w:rPr>
        <w:t xml:space="preserve"> by </w:t>
      </w:r>
      <w:r w:rsidR="002D5D1F">
        <w:rPr>
          <w:szCs w:val="24"/>
        </w:rPr>
        <w:t>South Gloucestershire Council</w:t>
      </w:r>
      <w:r w:rsidRPr="000F212A">
        <w:rPr>
          <w:szCs w:val="24"/>
        </w:rPr>
        <w:t xml:space="preserve"> for:</w:t>
      </w:r>
    </w:p>
    <w:p w14:paraId="07CADE92" w14:textId="77777777" w:rsidR="000F212A" w:rsidRDefault="000F212A" w:rsidP="000F212A">
      <w:pPr>
        <w:numPr>
          <w:ilvl w:val="0"/>
          <w:numId w:val="0"/>
        </w:numPr>
        <w:rPr>
          <w:b/>
          <w:sz w:val="28"/>
          <w:szCs w:val="28"/>
        </w:rPr>
      </w:pPr>
    </w:p>
    <w:p w14:paraId="0CC92BFB" w14:textId="201772EF" w:rsidR="000F212A" w:rsidRPr="000F212A" w:rsidRDefault="000F212A" w:rsidP="000F212A">
      <w:pPr>
        <w:numPr>
          <w:ilvl w:val="0"/>
          <w:numId w:val="0"/>
        </w:numPr>
        <w:jc w:val="center"/>
        <w:rPr>
          <w:b/>
          <w:i/>
          <w:sz w:val="28"/>
          <w:szCs w:val="28"/>
        </w:rPr>
      </w:pPr>
      <w:r w:rsidRPr="000F212A">
        <w:rPr>
          <w:b/>
          <w:i/>
          <w:sz w:val="28"/>
          <w:szCs w:val="28"/>
        </w:rPr>
        <w:t>“</w:t>
      </w:r>
      <w:r w:rsidR="002D5D1F" w:rsidRPr="002D5D1F">
        <w:rPr>
          <w:rFonts w:cs="Tahoma"/>
          <w:b/>
          <w:bCs/>
          <w:i/>
          <w:iCs/>
          <w:sz w:val="28"/>
          <w:szCs w:val="28"/>
        </w:rPr>
        <w:t>Erection of up to 595 dwellings (Use Classes C3), land for a Primary School (Use Class D1), up to 700m2 for a Retail and Community Hub (Use Classes A1, A2, D1), a network of open spaces including parkland, footpaths, allotments, landscaping and areas for informal recreation, new roads, a sustainable travel link (including a bus link), parking areas, accesses and paths and the installation of services and drainage infrastructure (Outline) with access to be determined and all other matters reserved</w:t>
      </w:r>
    </w:p>
    <w:p w14:paraId="1CA904B7" w14:textId="77777777" w:rsidR="000F212A" w:rsidRDefault="000F212A" w:rsidP="000F212A">
      <w:pPr>
        <w:numPr>
          <w:ilvl w:val="0"/>
          <w:numId w:val="0"/>
        </w:numPr>
        <w:jc w:val="center"/>
        <w:rPr>
          <w:b/>
          <w:sz w:val="28"/>
          <w:szCs w:val="28"/>
        </w:rPr>
      </w:pPr>
    </w:p>
    <w:p w14:paraId="1B26B3BA" w14:textId="6D0B6163" w:rsidR="000F212A" w:rsidRDefault="000F212A" w:rsidP="000F212A">
      <w:pPr>
        <w:numPr>
          <w:ilvl w:val="0"/>
          <w:numId w:val="0"/>
        </w:numPr>
        <w:jc w:val="center"/>
        <w:rPr>
          <w:b/>
          <w:sz w:val="28"/>
          <w:szCs w:val="28"/>
        </w:rPr>
      </w:pPr>
      <w:r w:rsidRPr="005E4911">
        <w:rPr>
          <w:b/>
          <w:sz w:val="28"/>
          <w:szCs w:val="28"/>
        </w:rPr>
        <w:t xml:space="preserve">Appeal Ref: </w:t>
      </w:r>
      <w:r w:rsidR="002D5D1F">
        <w:rPr>
          <w:b/>
          <w:sz w:val="28"/>
          <w:szCs w:val="28"/>
        </w:rPr>
        <w:t>APP/</w:t>
      </w:r>
      <w:r w:rsidR="002D5D1F" w:rsidRPr="002D5D1F">
        <w:rPr>
          <w:rFonts w:cs="Arial"/>
          <w:b/>
          <w:bCs/>
          <w:sz w:val="28"/>
          <w:szCs w:val="28"/>
        </w:rPr>
        <w:t>P0119/W/21/3288019</w:t>
      </w:r>
    </w:p>
    <w:p w14:paraId="36C9B8D8" w14:textId="77777777" w:rsidR="000F212A" w:rsidRDefault="000F212A" w:rsidP="000F212A">
      <w:pPr>
        <w:numPr>
          <w:ilvl w:val="0"/>
          <w:numId w:val="0"/>
        </w:numPr>
        <w:jc w:val="center"/>
        <w:rPr>
          <w:b/>
          <w:sz w:val="28"/>
          <w:szCs w:val="28"/>
        </w:rPr>
      </w:pPr>
    </w:p>
    <w:p w14:paraId="73C4FAE0" w14:textId="77777777" w:rsidR="000F212A" w:rsidRDefault="000F212A" w:rsidP="000F212A">
      <w:pPr>
        <w:numPr>
          <w:ilvl w:val="0"/>
          <w:numId w:val="0"/>
        </w:numPr>
        <w:jc w:val="center"/>
        <w:rPr>
          <w:b/>
          <w:sz w:val="28"/>
          <w:szCs w:val="28"/>
        </w:rPr>
      </w:pPr>
    </w:p>
    <w:p w14:paraId="59D2D361" w14:textId="602F39EF" w:rsidR="000F212A" w:rsidRDefault="000F212A" w:rsidP="000F212A">
      <w:pPr>
        <w:numPr>
          <w:ilvl w:val="0"/>
          <w:numId w:val="0"/>
        </w:numPr>
        <w:jc w:val="center"/>
        <w:rPr>
          <w:b/>
          <w:sz w:val="28"/>
          <w:szCs w:val="28"/>
        </w:rPr>
      </w:pPr>
      <w:r>
        <w:rPr>
          <w:b/>
          <w:sz w:val="28"/>
          <w:szCs w:val="28"/>
        </w:rPr>
        <w:t>Statement of Common Ground (Housing Supply</w:t>
      </w:r>
      <w:r w:rsidR="00A50F72">
        <w:rPr>
          <w:b/>
          <w:sz w:val="28"/>
          <w:szCs w:val="28"/>
        </w:rPr>
        <w:t xml:space="preserve"> and Delivery</w:t>
      </w:r>
      <w:r>
        <w:rPr>
          <w:b/>
          <w:sz w:val="28"/>
          <w:szCs w:val="28"/>
        </w:rPr>
        <w:t>)</w:t>
      </w:r>
    </w:p>
    <w:p w14:paraId="66D95D5B" w14:textId="13DEA7FC" w:rsidR="000F212A" w:rsidRDefault="000F212A" w:rsidP="000F212A">
      <w:pPr>
        <w:numPr>
          <w:ilvl w:val="0"/>
          <w:numId w:val="0"/>
        </w:numPr>
        <w:jc w:val="center"/>
        <w:rPr>
          <w:b/>
          <w:sz w:val="28"/>
          <w:szCs w:val="28"/>
        </w:rPr>
      </w:pPr>
      <w:r>
        <w:rPr>
          <w:b/>
          <w:sz w:val="28"/>
          <w:szCs w:val="28"/>
        </w:rPr>
        <w:t xml:space="preserve">between </w:t>
      </w:r>
    </w:p>
    <w:p w14:paraId="3BDF612C" w14:textId="763209F7" w:rsidR="000F212A" w:rsidRDefault="002D5D1F" w:rsidP="000F212A">
      <w:pPr>
        <w:numPr>
          <w:ilvl w:val="0"/>
          <w:numId w:val="0"/>
        </w:numPr>
        <w:jc w:val="center"/>
        <w:rPr>
          <w:b/>
          <w:sz w:val="28"/>
          <w:szCs w:val="28"/>
        </w:rPr>
      </w:pPr>
      <w:r>
        <w:rPr>
          <w:b/>
          <w:noProof/>
          <w:sz w:val="28"/>
          <w:szCs w:val="28"/>
        </w:rPr>
        <w:t>South Gloucestershire Council</w:t>
      </w:r>
    </w:p>
    <w:p w14:paraId="039FAB28" w14:textId="77777777" w:rsidR="000F212A" w:rsidRDefault="000F212A" w:rsidP="000F212A">
      <w:pPr>
        <w:numPr>
          <w:ilvl w:val="0"/>
          <w:numId w:val="0"/>
        </w:numPr>
        <w:jc w:val="center"/>
        <w:rPr>
          <w:b/>
          <w:sz w:val="28"/>
          <w:szCs w:val="28"/>
        </w:rPr>
      </w:pPr>
      <w:r>
        <w:rPr>
          <w:b/>
          <w:sz w:val="28"/>
          <w:szCs w:val="28"/>
        </w:rPr>
        <w:t>&amp;</w:t>
      </w:r>
    </w:p>
    <w:p w14:paraId="1F75CCAA" w14:textId="2D1BCD4D" w:rsidR="000F212A" w:rsidRPr="00643B0A" w:rsidRDefault="002D5D1F" w:rsidP="000F212A">
      <w:pPr>
        <w:numPr>
          <w:ilvl w:val="0"/>
          <w:numId w:val="0"/>
        </w:numPr>
        <w:jc w:val="center"/>
        <w:rPr>
          <w:b/>
          <w:sz w:val="28"/>
          <w:szCs w:val="28"/>
        </w:rPr>
      </w:pPr>
      <w:r>
        <w:rPr>
          <w:b/>
          <w:noProof/>
          <w:sz w:val="28"/>
          <w:szCs w:val="28"/>
        </w:rPr>
        <w:t xml:space="preserve">Barwood Development Securities Ltd </w:t>
      </w:r>
      <w:r w:rsidR="00225AE9">
        <w:rPr>
          <w:b/>
          <w:noProof/>
          <w:sz w:val="28"/>
          <w:szCs w:val="28"/>
        </w:rPr>
        <w:t>and the North West Thornbury Landowner Consortium</w:t>
      </w:r>
    </w:p>
    <w:p w14:paraId="1D11720D" w14:textId="77777777" w:rsidR="000F212A" w:rsidRDefault="000F212A" w:rsidP="00CF4E2A">
      <w:pPr>
        <w:pStyle w:val="Title"/>
      </w:pPr>
    </w:p>
    <w:p w14:paraId="62429405" w14:textId="77777777" w:rsidR="000F212A" w:rsidRDefault="000F212A">
      <w:pPr>
        <w:numPr>
          <w:ilvl w:val="0"/>
          <w:numId w:val="0"/>
        </w:numPr>
        <w:rPr>
          <w:rFonts w:asciiTheme="majorHAnsi" w:eastAsiaTheme="majorEastAsia" w:hAnsiTheme="majorHAnsi" w:cstheme="majorBidi"/>
          <w:b/>
          <w:color w:val="28A191"/>
          <w:spacing w:val="-10"/>
          <w:kern w:val="28"/>
          <w:sz w:val="56"/>
          <w:szCs w:val="56"/>
        </w:rPr>
      </w:pPr>
      <w:r>
        <w:br w:type="page"/>
      </w:r>
    </w:p>
    <w:p w14:paraId="12FDE240" w14:textId="77777777" w:rsidR="00AE0E84" w:rsidRDefault="00AE0E84">
      <w:pPr>
        <w:numPr>
          <w:ilvl w:val="0"/>
          <w:numId w:val="0"/>
        </w:numPr>
      </w:pPr>
      <w:r>
        <w:lastRenderedPageBreak/>
        <w:t>This page is intentionally blank.</w:t>
      </w:r>
    </w:p>
    <w:p w14:paraId="041D0803" w14:textId="30DD7FDA" w:rsidR="00AE0E84" w:rsidRPr="00AE0E84" w:rsidRDefault="00AE0E84">
      <w:pPr>
        <w:numPr>
          <w:ilvl w:val="0"/>
          <w:numId w:val="0"/>
        </w:numPr>
      </w:pPr>
      <w:r>
        <w:t xml:space="preserve"> </w:t>
      </w:r>
      <w:r>
        <w:br w:type="page"/>
      </w:r>
    </w:p>
    <w:p w14:paraId="3E6B8BCE" w14:textId="7995E9C4" w:rsidR="00E91360" w:rsidRDefault="00CF4E2A" w:rsidP="00CF4E2A">
      <w:pPr>
        <w:pStyle w:val="Title"/>
      </w:pPr>
      <w:r>
        <w:lastRenderedPageBreak/>
        <w:t>St</w:t>
      </w:r>
      <w:r w:rsidR="00160672">
        <w:t>atement of Common Ground – Housing Supply</w:t>
      </w:r>
      <w:r w:rsidR="00A50F72">
        <w:t xml:space="preserve"> and Delivery</w:t>
      </w:r>
    </w:p>
    <w:p w14:paraId="6C5CB021" w14:textId="539A71C4" w:rsidR="00D86019" w:rsidRPr="00325EDB" w:rsidRDefault="00160672" w:rsidP="00325EDB">
      <w:pPr>
        <w:pStyle w:val="Heading1"/>
      </w:pPr>
      <w:r>
        <w:t>Introduction</w:t>
      </w:r>
    </w:p>
    <w:p w14:paraId="37B44423" w14:textId="1444FE1E" w:rsidR="00FA5AE3" w:rsidRPr="00FA5AE3" w:rsidRDefault="00FA5AE3" w:rsidP="00FA5AE3">
      <w:r w:rsidRPr="00FA5AE3">
        <w:t xml:space="preserve">This Statement of Common Ground (SoCG) has been prepared jointly by </w:t>
      </w:r>
      <w:r w:rsidR="00B158EF">
        <w:t>Barwood Development Securities Ltd</w:t>
      </w:r>
      <w:r w:rsidR="00306B23">
        <w:t xml:space="preserve"> </w:t>
      </w:r>
      <w:r w:rsidRPr="00FA5AE3">
        <w:t>(hereinafter referred to as ‘The Appellant</w:t>
      </w:r>
      <w:r w:rsidR="00306B23">
        <w:t>s</w:t>
      </w:r>
      <w:r w:rsidRPr="00FA5AE3">
        <w:t xml:space="preserve">’) and </w:t>
      </w:r>
      <w:r w:rsidR="00B158EF">
        <w:t>South Gloucestershire</w:t>
      </w:r>
      <w:r w:rsidRPr="00FA5AE3">
        <w:t xml:space="preserve"> Council (hereinafter referred to as “The Council”). </w:t>
      </w:r>
    </w:p>
    <w:p w14:paraId="574B5801" w14:textId="70ACBF58" w:rsidR="00FA5AE3" w:rsidRDefault="00FA5AE3" w:rsidP="00147910">
      <w:r w:rsidRPr="00FA5AE3">
        <w:t xml:space="preserve">The Statement refers to Appeal Ref: </w:t>
      </w:r>
      <w:r w:rsidR="00306B23">
        <w:rPr>
          <w:rFonts w:cs="Arial"/>
          <w:sz w:val="22"/>
        </w:rPr>
        <w:t>APP/</w:t>
      </w:r>
      <w:r w:rsidR="00B158EF" w:rsidRPr="009918D5">
        <w:rPr>
          <w:rFonts w:cs="Arial"/>
          <w:sz w:val="22"/>
        </w:rPr>
        <w:t>P0119/W/21/3288019</w:t>
      </w:r>
      <w:r w:rsidR="00B158EF">
        <w:rPr>
          <w:rFonts w:cs="Arial"/>
          <w:sz w:val="22"/>
        </w:rPr>
        <w:t xml:space="preserve"> </w:t>
      </w:r>
      <w:r w:rsidRPr="00FA5AE3">
        <w:t xml:space="preserve">against the </w:t>
      </w:r>
      <w:r w:rsidR="00B158EF">
        <w:t>failure of South Gloucestershire Council to determine an outline planning application within the relevant timescales for</w:t>
      </w:r>
      <w:r w:rsidR="00B158EF" w:rsidRPr="00FA5AE3">
        <w:t xml:space="preserve"> </w:t>
      </w:r>
      <w:r w:rsidRPr="00FA5AE3">
        <w:t xml:space="preserve">the site known as </w:t>
      </w:r>
      <w:r w:rsidR="00DD700A">
        <w:t xml:space="preserve">Land </w:t>
      </w:r>
      <w:r w:rsidR="00B158EF">
        <w:t>to the west of Park Farm, Butt Lane, Thornbury</w:t>
      </w:r>
      <w:r w:rsidR="00306B23">
        <w:t xml:space="preserve"> </w:t>
      </w:r>
      <w:r w:rsidRPr="00FA5AE3">
        <w:t>(application reference</w:t>
      </w:r>
      <w:r w:rsidR="00DD700A">
        <w:t>:</w:t>
      </w:r>
      <w:r w:rsidRPr="00FA5AE3">
        <w:t xml:space="preserve"> </w:t>
      </w:r>
      <w:r w:rsidR="00B158EF" w:rsidRPr="00B158EF">
        <w:t>PT18/6450/O</w:t>
      </w:r>
      <w:r w:rsidRPr="00FA5AE3">
        <w:t>) for:</w:t>
      </w:r>
    </w:p>
    <w:p w14:paraId="4FEF7A50" w14:textId="75861290" w:rsidR="00147910" w:rsidRPr="00B158EF" w:rsidRDefault="00B158EF" w:rsidP="00147910">
      <w:pPr>
        <w:numPr>
          <w:ilvl w:val="0"/>
          <w:numId w:val="0"/>
        </w:numPr>
        <w:ind w:left="1560"/>
        <w:rPr>
          <w:i/>
          <w:iCs/>
        </w:rPr>
      </w:pPr>
      <w:r w:rsidRPr="00B158EF">
        <w:rPr>
          <w:rFonts w:cs="Arial"/>
          <w:i/>
          <w:iCs/>
          <w:szCs w:val="24"/>
        </w:rPr>
        <w:t>Erection of up to 595 dwellings (Use Classes C3), land for a Primary School (Use Class D1), up to 700m2 for a Retail and Community Hub (Use Classes A1, A2, D1), a network of open spaces including parkland, footpaths, allotments, landscaping and areas for informal recreation, new roads, a sustainable travel link (including a bus link), parking areas, accesses and paths and the installation of services and drainage infrastructure (Outline) with access to be determined and all other matters reserved</w:t>
      </w:r>
    </w:p>
    <w:p w14:paraId="603CD759" w14:textId="440C0713" w:rsidR="00147910" w:rsidRDefault="00147910" w:rsidP="00160672">
      <w:r>
        <w:t>This SoCG refers to matters concerned with housing land supply</w:t>
      </w:r>
      <w:r w:rsidR="00A50F72">
        <w:t xml:space="preserve"> and delivery</w:t>
      </w:r>
      <w:r>
        <w:t xml:space="preserve">. A separate SoCG covering all other planning matters has been prepared. </w:t>
      </w:r>
      <w:r w:rsidR="00CA3876">
        <w:t xml:space="preserve">This includes a summary of the background, site location and proposals. </w:t>
      </w:r>
    </w:p>
    <w:p w14:paraId="29D3CA9F" w14:textId="42C87B83" w:rsidR="00147910" w:rsidRDefault="00147910" w:rsidP="00147910">
      <w:r>
        <w:t xml:space="preserve">This Statement sets out the agreed matters of fact and agreed positions between the Council and the Appellant in respect </w:t>
      </w:r>
      <w:r w:rsidR="00266598">
        <w:t xml:space="preserve">of </w:t>
      </w:r>
      <w:r w:rsidR="00AE0E84">
        <w:t xml:space="preserve">housing supply </w:t>
      </w:r>
      <w:r w:rsidR="00266598">
        <w:t xml:space="preserve">and delivery </w:t>
      </w:r>
      <w:r w:rsidR="00AE0E84">
        <w:t>matters for thi</w:t>
      </w:r>
      <w:r>
        <w:t>s appeal.</w:t>
      </w:r>
      <w:r w:rsidR="00CA3876">
        <w:t xml:space="preserve"> </w:t>
      </w:r>
    </w:p>
    <w:p w14:paraId="3D10EF75" w14:textId="77777777" w:rsidR="00147910" w:rsidRDefault="00147910" w:rsidP="00147910">
      <w:r>
        <w:t>Finally, this statement summarises those areas of disagreement between the parties.</w:t>
      </w:r>
    </w:p>
    <w:p w14:paraId="3F0D1B61" w14:textId="118685BE" w:rsidR="00FA5AE3" w:rsidRDefault="00FA5AE3" w:rsidP="00160672">
      <w:r>
        <w:t>This final version of the SoCG (Housing Supply</w:t>
      </w:r>
      <w:r w:rsidR="00A50F72">
        <w:t xml:space="preserve"> and Delivery</w:t>
      </w:r>
      <w:r>
        <w:t>) is jointly agreed by:</w:t>
      </w:r>
    </w:p>
    <w:p w14:paraId="537981CC" w14:textId="77777777" w:rsidR="00FA5AE3" w:rsidRDefault="00FA5AE3" w:rsidP="00FA5AE3">
      <w:pPr>
        <w:numPr>
          <w:ilvl w:val="0"/>
          <w:numId w:val="0"/>
        </w:numPr>
        <w:ind w:left="567"/>
      </w:pPr>
    </w:p>
    <w:p w14:paraId="777559BB" w14:textId="054733E6" w:rsidR="00FA5AE3" w:rsidRDefault="00FA5AE3" w:rsidP="00FA5AE3">
      <w:pPr>
        <w:numPr>
          <w:ilvl w:val="0"/>
          <w:numId w:val="0"/>
        </w:numPr>
        <w:ind w:left="567"/>
      </w:pPr>
      <w:r>
        <w:t>Signed</w:t>
      </w:r>
      <w:r>
        <w:tab/>
      </w:r>
      <w:r w:rsidR="00EE2316" w:rsidRPr="00EE2316">
        <w:rPr>
          <w:rFonts w:ascii="Bradley Hand ITC" w:hAnsi="Bradley Hand ITC"/>
        </w:rPr>
        <w:t>Ben Pycroft</w:t>
      </w:r>
      <w:r>
        <w:tab/>
      </w:r>
      <w:r>
        <w:tab/>
      </w:r>
      <w:r w:rsidR="00306B23">
        <w:tab/>
      </w:r>
      <w:r w:rsidR="00306B23">
        <w:tab/>
      </w:r>
      <w:r>
        <w:t>Date</w:t>
      </w:r>
      <w:r w:rsidR="00D774C5">
        <w:t xml:space="preserve"> </w:t>
      </w:r>
      <w:r w:rsidR="00EE2316">
        <w:t>17/03/2022</w:t>
      </w:r>
    </w:p>
    <w:p w14:paraId="6E81B983" w14:textId="27E87895" w:rsidR="00FA5AE3" w:rsidRPr="00FA5AE3" w:rsidRDefault="00EE2316" w:rsidP="00FA5AE3">
      <w:pPr>
        <w:numPr>
          <w:ilvl w:val="0"/>
          <w:numId w:val="0"/>
        </w:numPr>
        <w:ind w:left="567"/>
        <w:rPr>
          <w:b/>
        </w:rPr>
      </w:pPr>
      <w:r>
        <w:rPr>
          <w:b/>
        </w:rPr>
        <w:t>Ben Pycroft (Emery Planning)</w:t>
      </w:r>
    </w:p>
    <w:p w14:paraId="0AEE1FB3" w14:textId="75D49C0C" w:rsidR="00FA5AE3" w:rsidRDefault="00FA5AE3" w:rsidP="00FA5AE3">
      <w:pPr>
        <w:numPr>
          <w:ilvl w:val="0"/>
          <w:numId w:val="0"/>
        </w:numPr>
        <w:ind w:left="567"/>
      </w:pPr>
      <w:r>
        <w:t xml:space="preserve">On behalf of </w:t>
      </w:r>
      <w:r w:rsidR="00B158EF">
        <w:t>Barwood Development Securities Ltd</w:t>
      </w:r>
      <w:r w:rsidR="00225AE9">
        <w:t xml:space="preserve"> </w:t>
      </w:r>
      <w:r w:rsidR="00225AE9" w:rsidRPr="00225AE9">
        <w:t>and the North West Thornbury Landowner Consortium</w:t>
      </w:r>
    </w:p>
    <w:p w14:paraId="730D8781" w14:textId="311D2294" w:rsidR="00FA5AE3" w:rsidRDefault="00FA5AE3" w:rsidP="00FA5AE3">
      <w:pPr>
        <w:numPr>
          <w:ilvl w:val="0"/>
          <w:numId w:val="0"/>
        </w:numPr>
        <w:ind w:left="567"/>
      </w:pPr>
    </w:p>
    <w:p w14:paraId="351E3CDF" w14:textId="079289B3" w:rsidR="00FA5AE3" w:rsidRDefault="00FA5AE3" w:rsidP="00FA5AE3">
      <w:pPr>
        <w:numPr>
          <w:ilvl w:val="0"/>
          <w:numId w:val="0"/>
        </w:numPr>
        <w:ind w:left="567"/>
      </w:pPr>
      <w:r>
        <w:t>Signed</w:t>
      </w:r>
      <w:r>
        <w:tab/>
      </w:r>
      <w:r w:rsidR="005F2C07" w:rsidRPr="00971327">
        <w:rPr>
          <w:rFonts w:ascii="Times New Roman" w:eastAsia="Times New Roman" w:hAnsi="Times New Roman" w:cs="Times New Roman"/>
          <w:noProof/>
          <w:sz w:val="20"/>
          <w:szCs w:val="20"/>
          <w:lang w:eastAsia="en-GB"/>
        </w:rPr>
        <w:drawing>
          <wp:inline distT="0" distB="0" distL="0" distR="0" wp14:anchorId="27DA84EF" wp14:editId="2DB1D6E3">
            <wp:extent cx="1385570" cy="636232"/>
            <wp:effectExtent l="0" t="0" r="508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1604" cy="648186"/>
                    </a:xfrm>
                    <a:prstGeom prst="rect">
                      <a:avLst/>
                    </a:prstGeom>
                    <a:noFill/>
                    <a:ln>
                      <a:noFill/>
                    </a:ln>
                  </pic:spPr>
                </pic:pic>
              </a:graphicData>
            </a:graphic>
          </wp:inline>
        </w:drawing>
      </w:r>
      <w:r>
        <w:tab/>
      </w:r>
      <w:r>
        <w:tab/>
      </w:r>
      <w:r>
        <w:tab/>
      </w:r>
      <w:r w:rsidR="00977381">
        <w:tab/>
      </w:r>
      <w:r>
        <w:t>Date</w:t>
      </w:r>
      <w:r w:rsidR="00DC16E3">
        <w:t xml:space="preserve"> </w:t>
      </w:r>
      <w:r w:rsidR="005F2C07">
        <w:t xml:space="preserve"> 18/03/2022</w:t>
      </w:r>
    </w:p>
    <w:p w14:paraId="641201F0" w14:textId="46ECB40E" w:rsidR="00FA5AE3" w:rsidRPr="0075113D" w:rsidRDefault="00FA5AE3" w:rsidP="00FA5AE3">
      <w:pPr>
        <w:numPr>
          <w:ilvl w:val="0"/>
          <w:numId w:val="0"/>
        </w:numPr>
        <w:ind w:left="567"/>
        <w:rPr>
          <w:bCs/>
        </w:rPr>
      </w:pPr>
      <w:r w:rsidRPr="00FA5AE3">
        <w:rPr>
          <w:b/>
        </w:rPr>
        <w:lastRenderedPageBreak/>
        <w:t>NAME</w:t>
      </w:r>
      <w:r w:rsidR="00DC16E3">
        <w:rPr>
          <w:b/>
        </w:rPr>
        <w:t xml:space="preserve"> </w:t>
      </w:r>
      <w:r w:rsidR="0075113D">
        <w:rPr>
          <w:bCs/>
        </w:rPr>
        <w:t>Eileen Paterson</w:t>
      </w:r>
    </w:p>
    <w:p w14:paraId="35CB0B20" w14:textId="55D5620D" w:rsidR="00147910" w:rsidRDefault="00FA5AE3" w:rsidP="00AE0E84">
      <w:pPr>
        <w:numPr>
          <w:ilvl w:val="0"/>
          <w:numId w:val="0"/>
        </w:numPr>
        <w:ind w:left="567"/>
      </w:pPr>
      <w:r>
        <w:t xml:space="preserve">On behalf of </w:t>
      </w:r>
      <w:r w:rsidR="000D1876">
        <w:t>South Gloucestershire</w:t>
      </w:r>
      <w:r w:rsidR="00472051">
        <w:t xml:space="preserve"> </w:t>
      </w:r>
      <w:r w:rsidR="00DD700A">
        <w:t>Council</w:t>
      </w:r>
      <w:r w:rsidR="00147910">
        <w:br w:type="page"/>
      </w:r>
    </w:p>
    <w:p w14:paraId="6912ECA2" w14:textId="58CD22B2" w:rsidR="00F8406B" w:rsidRDefault="00160672" w:rsidP="00325EDB">
      <w:pPr>
        <w:pStyle w:val="Heading1"/>
      </w:pPr>
      <w:r>
        <w:lastRenderedPageBreak/>
        <w:t>Matters of agreement</w:t>
      </w:r>
    </w:p>
    <w:p w14:paraId="0CFC2813" w14:textId="41D2AA74" w:rsidR="00A50F72" w:rsidRDefault="00A50F72" w:rsidP="00306B23">
      <w:pPr>
        <w:pStyle w:val="Heading2"/>
      </w:pPr>
      <w:r>
        <w:t>Housing delivery</w:t>
      </w:r>
    </w:p>
    <w:p w14:paraId="49E1F6A3" w14:textId="195889C1" w:rsidR="00A50F72" w:rsidRDefault="00A50F72" w:rsidP="00A50F72">
      <w:r>
        <w:t>Both parties agree that the latest (202</w:t>
      </w:r>
      <w:r w:rsidR="00B158EF">
        <w:t>1</w:t>
      </w:r>
      <w:r>
        <w:t xml:space="preserve">) Housing Delivery Test result was </w:t>
      </w:r>
      <w:r w:rsidR="00B158EF">
        <w:t>133</w:t>
      </w:r>
      <w:r>
        <w:t>% as set out in the following table:</w:t>
      </w:r>
    </w:p>
    <w:p w14:paraId="11372A32" w14:textId="183C7CCF" w:rsidR="00A50F72" w:rsidRDefault="00A50F72" w:rsidP="00A50F72">
      <w:pPr>
        <w:pStyle w:val="Heading4"/>
      </w:pPr>
      <w:r>
        <w:t>Table 1: 202</w:t>
      </w:r>
      <w:r w:rsidR="00B158EF">
        <w:t>1</w:t>
      </w:r>
      <w:r>
        <w:t xml:space="preserve"> Housing Delivery Test result for </w:t>
      </w:r>
      <w:r w:rsidR="00B158EF">
        <w:t>South Gloucestershire</w:t>
      </w:r>
    </w:p>
    <w:p w14:paraId="246515D0" w14:textId="77777777" w:rsidR="00A50F72" w:rsidRDefault="00A50F72" w:rsidP="00A50F72">
      <w:pPr>
        <w:pStyle w:val="Heading4"/>
      </w:pPr>
    </w:p>
    <w:tbl>
      <w:tblPr>
        <w:tblStyle w:val="TableGrid"/>
        <w:tblW w:w="0" w:type="auto"/>
        <w:tblInd w:w="567" w:type="dxa"/>
        <w:tblLook w:val="04A0" w:firstRow="1" w:lastRow="0" w:firstColumn="1" w:lastColumn="0" w:noHBand="0" w:noVBand="1"/>
      </w:tblPr>
      <w:tblGrid>
        <w:gridCol w:w="3662"/>
        <w:gridCol w:w="993"/>
        <w:gridCol w:w="1010"/>
        <w:gridCol w:w="993"/>
        <w:gridCol w:w="1791"/>
      </w:tblGrid>
      <w:tr w:rsidR="00B158EF" w:rsidRPr="00A50F72" w14:paraId="4C84A5A4" w14:textId="77777777" w:rsidTr="00B158EF">
        <w:tc>
          <w:tcPr>
            <w:tcW w:w="3662" w:type="dxa"/>
            <w:tcBorders>
              <w:top w:val="single" w:sz="4" w:space="0" w:color="auto"/>
              <w:left w:val="single" w:sz="4" w:space="0" w:color="auto"/>
              <w:bottom w:val="single" w:sz="4" w:space="0" w:color="auto"/>
              <w:right w:val="single" w:sz="4" w:space="0" w:color="auto"/>
            </w:tcBorders>
          </w:tcPr>
          <w:p w14:paraId="3A2E9A0D" w14:textId="77777777" w:rsidR="00B158EF" w:rsidRPr="00A50F72" w:rsidRDefault="00B158EF" w:rsidP="00B158EF">
            <w:pPr>
              <w:numPr>
                <w:ilvl w:val="0"/>
                <w:numId w:val="0"/>
              </w:numPr>
              <w:rPr>
                <w:b/>
                <w:bCs/>
              </w:rPr>
            </w:pPr>
          </w:p>
        </w:tc>
        <w:tc>
          <w:tcPr>
            <w:tcW w:w="993" w:type="dxa"/>
            <w:tcBorders>
              <w:top w:val="single" w:sz="4" w:space="0" w:color="auto"/>
              <w:left w:val="single" w:sz="4" w:space="0" w:color="auto"/>
              <w:bottom w:val="single" w:sz="4" w:space="0" w:color="auto"/>
              <w:right w:val="single" w:sz="4" w:space="0" w:color="auto"/>
            </w:tcBorders>
            <w:hideMark/>
          </w:tcPr>
          <w:p w14:paraId="28D8C010" w14:textId="5CC9F24B" w:rsidR="00B158EF" w:rsidRPr="00A50F72" w:rsidRDefault="00B158EF" w:rsidP="00B158EF">
            <w:pPr>
              <w:numPr>
                <w:ilvl w:val="0"/>
                <w:numId w:val="0"/>
              </w:numPr>
              <w:rPr>
                <w:b/>
                <w:bCs/>
              </w:rPr>
            </w:pPr>
            <w:r w:rsidRPr="00A50F72">
              <w:rPr>
                <w:b/>
                <w:bCs/>
              </w:rPr>
              <w:t>2018-19</w:t>
            </w:r>
          </w:p>
        </w:tc>
        <w:tc>
          <w:tcPr>
            <w:tcW w:w="1010" w:type="dxa"/>
            <w:tcBorders>
              <w:top w:val="single" w:sz="4" w:space="0" w:color="auto"/>
              <w:left w:val="single" w:sz="4" w:space="0" w:color="auto"/>
              <w:bottom w:val="single" w:sz="4" w:space="0" w:color="auto"/>
              <w:right w:val="single" w:sz="4" w:space="0" w:color="auto"/>
            </w:tcBorders>
          </w:tcPr>
          <w:p w14:paraId="1E4CE966" w14:textId="4A610BA6" w:rsidR="00B158EF" w:rsidRPr="00A50F72" w:rsidRDefault="00B158EF" w:rsidP="00B158EF">
            <w:pPr>
              <w:numPr>
                <w:ilvl w:val="0"/>
                <w:numId w:val="0"/>
              </w:numPr>
              <w:rPr>
                <w:b/>
                <w:bCs/>
              </w:rPr>
            </w:pPr>
            <w:r w:rsidRPr="00A50F72">
              <w:rPr>
                <w:b/>
                <w:bCs/>
              </w:rPr>
              <w:t>2019-20</w:t>
            </w:r>
          </w:p>
        </w:tc>
        <w:tc>
          <w:tcPr>
            <w:tcW w:w="993" w:type="dxa"/>
            <w:tcBorders>
              <w:top w:val="single" w:sz="4" w:space="0" w:color="auto"/>
              <w:left w:val="single" w:sz="4" w:space="0" w:color="auto"/>
              <w:bottom w:val="single" w:sz="4" w:space="0" w:color="auto"/>
              <w:right w:val="single" w:sz="4" w:space="0" w:color="auto"/>
            </w:tcBorders>
          </w:tcPr>
          <w:p w14:paraId="07A2C1C1" w14:textId="6198EE47" w:rsidR="00B158EF" w:rsidRPr="00A50F72" w:rsidRDefault="00B158EF" w:rsidP="00B158EF">
            <w:pPr>
              <w:numPr>
                <w:ilvl w:val="0"/>
                <w:numId w:val="0"/>
              </w:numPr>
              <w:rPr>
                <w:b/>
                <w:bCs/>
              </w:rPr>
            </w:pPr>
            <w:r>
              <w:rPr>
                <w:b/>
                <w:bCs/>
              </w:rPr>
              <w:t>2020-21</w:t>
            </w:r>
          </w:p>
        </w:tc>
        <w:tc>
          <w:tcPr>
            <w:tcW w:w="1791" w:type="dxa"/>
            <w:tcBorders>
              <w:top w:val="single" w:sz="4" w:space="0" w:color="auto"/>
              <w:left w:val="single" w:sz="4" w:space="0" w:color="auto"/>
              <w:bottom w:val="single" w:sz="4" w:space="0" w:color="auto"/>
              <w:right w:val="single" w:sz="4" w:space="0" w:color="auto"/>
            </w:tcBorders>
            <w:hideMark/>
          </w:tcPr>
          <w:p w14:paraId="09EFB879" w14:textId="77777777" w:rsidR="00B158EF" w:rsidRPr="00A50F72" w:rsidRDefault="00B158EF" w:rsidP="00B158EF">
            <w:pPr>
              <w:numPr>
                <w:ilvl w:val="0"/>
                <w:numId w:val="0"/>
              </w:numPr>
              <w:rPr>
                <w:b/>
                <w:bCs/>
              </w:rPr>
            </w:pPr>
            <w:r w:rsidRPr="00A50F72">
              <w:rPr>
                <w:b/>
                <w:bCs/>
              </w:rPr>
              <w:t>Total</w:t>
            </w:r>
          </w:p>
        </w:tc>
      </w:tr>
      <w:tr w:rsidR="00B158EF" w:rsidRPr="00A50F72" w14:paraId="7FEF1805" w14:textId="77777777" w:rsidTr="00B158EF">
        <w:tc>
          <w:tcPr>
            <w:tcW w:w="3662" w:type="dxa"/>
            <w:tcBorders>
              <w:top w:val="single" w:sz="4" w:space="0" w:color="auto"/>
              <w:left w:val="single" w:sz="4" w:space="0" w:color="auto"/>
              <w:bottom w:val="single" w:sz="4" w:space="0" w:color="auto"/>
              <w:right w:val="single" w:sz="4" w:space="0" w:color="auto"/>
            </w:tcBorders>
            <w:hideMark/>
          </w:tcPr>
          <w:p w14:paraId="17D35A73" w14:textId="77777777" w:rsidR="00B158EF" w:rsidRPr="00A50F72" w:rsidRDefault="00B158EF" w:rsidP="00B158EF">
            <w:pPr>
              <w:numPr>
                <w:ilvl w:val="0"/>
                <w:numId w:val="0"/>
              </w:numPr>
            </w:pPr>
            <w:r w:rsidRPr="00A50F72">
              <w:t>Number of homes required</w:t>
            </w:r>
          </w:p>
        </w:tc>
        <w:tc>
          <w:tcPr>
            <w:tcW w:w="993" w:type="dxa"/>
            <w:tcBorders>
              <w:top w:val="single" w:sz="4" w:space="0" w:color="auto"/>
              <w:left w:val="single" w:sz="4" w:space="0" w:color="auto"/>
              <w:bottom w:val="single" w:sz="4" w:space="0" w:color="auto"/>
              <w:right w:val="single" w:sz="4" w:space="0" w:color="auto"/>
            </w:tcBorders>
          </w:tcPr>
          <w:p w14:paraId="2241A766" w14:textId="5AD7A421" w:rsidR="00B158EF" w:rsidRPr="00A50F72" w:rsidRDefault="00B158EF" w:rsidP="00B158EF">
            <w:pPr>
              <w:numPr>
                <w:ilvl w:val="0"/>
                <w:numId w:val="0"/>
              </w:numPr>
            </w:pPr>
            <w:r w:rsidRPr="00393AE2">
              <w:t>1</w:t>
            </w:r>
            <w:r>
              <w:t>,</w:t>
            </w:r>
            <w:r w:rsidRPr="00393AE2">
              <w:t>366</w:t>
            </w:r>
          </w:p>
        </w:tc>
        <w:tc>
          <w:tcPr>
            <w:tcW w:w="1010" w:type="dxa"/>
            <w:tcBorders>
              <w:top w:val="single" w:sz="4" w:space="0" w:color="auto"/>
              <w:left w:val="single" w:sz="4" w:space="0" w:color="auto"/>
              <w:bottom w:val="single" w:sz="4" w:space="0" w:color="auto"/>
              <w:right w:val="single" w:sz="4" w:space="0" w:color="auto"/>
            </w:tcBorders>
          </w:tcPr>
          <w:p w14:paraId="4BBFC1AE" w14:textId="1DC0697F" w:rsidR="00B158EF" w:rsidRPr="00A50F72" w:rsidRDefault="00B158EF" w:rsidP="00B158EF">
            <w:pPr>
              <w:numPr>
                <w:ilvl w:val="0"/>
                <w:numId w:val="0"/>
              </w:numPr>
            </w:pPr>
            <w:r w:rsidRPr="00393AE2">
              <w:t>1</w:t>
            </w:r>
            <w:r>
              <w:t>,</w:t>
            </w:r>
            <w:r w:rsidRPr="00393AE2">
              <w:t>272</w:t>
            </w:r>
          </w:p>
        </w:tc>
        <w:tc>
          <w:tcPr>
            <w:tcW w:w="993" w:type="dxa"/>
            <w:tcBorders>
              <w:top w:val="single" w:sz="4" w:space="0" w:color="auto"/>
              <w:left w:val="single" w:sz="4" w:space="0" w:color="auto"/>
              <w:bottom w:val="single" w:sz="4" w:space="0" w:color="auto"/>
              <w:right w:val="single" w:sz="4" w:space="0" w:color="auto"/>
            </w:tcBorders>
          </w:tcPr>
          <w:p w14:paraId="167610F2" w14:textId="799BE900" w:rsidR="00B158EF" w:rsidRPr="00A50F72" w:rsidRDefault="00B158EF" w:rsidP="00B158EF">
            <w:pPr>
              <w:numPr>
                <w:ilvl w:val="0"/>
                <w:numId w:val="0"/>
              </w:numPr>
            </w:pPr>
            <w:r w:rsidRPr="00393AE2">
              <w:t>940</w:t>
            </w:r>
          </w:p>
        </w:tc>
        <w:tc>
          <w:tcPr>
            <w:tcW w:w="1791" w:type="dxa"/>
            <w:tcBorders>
              <w:top w:val="single" w:sz="4" w:space="0" w:color="auto"/>
              <w:left w:val="single" w:sz="4" w:space="0" w:color="auto"/>
              <w:bottom w:val="single" w:sz="4" w:space="0" w:color="auto"/>
              <w:right w:val="single" w:sz="4" w:space="0" w:color="auto"/>
            </w:tcBorders>
          </w:tcPr>
          <w:p w14:paraId="4A74DA7F" w14:textId="6D46AA38" w:rsidR="00B158EF" w:rsidRPr="00A50F72" w:rsidRDefault="00B158EF" w:rsidP="00B158EF">
            <w:pPr>
              <w:numPr>
                <w:ilvl w:val="0"/>
                <w:numId w:val="0"/>
              </w:numPr>
            </w:pPr>
            <w:r w:rsidRPr="00393AE2">
              <w:t>3</w:t>
            </w:r>
            <w:r>
              <w:t>,</w:t>
            </w:r>
            <w:r w:rsidRPr="00393AE2">
              <w:t>578</w:t>
            </w:r>
          </w:p>
        </w:tc>
      </w:tr>
      <w:tr w:rsidR="00B158EF" w:rsidRPr="00A50F72" w14:paraId="79AC83DE" w14:textId="77777777" w:rsidTr="00B158EF">
        <w:tc>
          <w:tcPr>
            <w:tcW w:w="3662" w:type="dxa"/>
            <w:tcBorders>
              <w:top w:val="single" w:sz="4" w:space="0" w:color="auto"/>
              <w:left w:val="single" w:sz="4" w:space="0" w:color="auto"/>
              <w:bottom w:val="single" w:sz="4" w:space="0" w:color="auto"/>
              <w:right w:val="single" w:sz="4" w:space="0" w:color="auto"/>
            </w:tcBorders>
            <w:hideMark/>
          </w:tcPr>
          <w:p w14:paraId="12796883" w14:textId="77777777" w:rsidR="00B158EF" w:rsidRPr="00A50F72" w:rsidRDefault="00B158EF" w:rsidP="00B158EF">
            <w:pPr>
              <w:numPr>
                <w:ilvl w:val="0"/>
                <w:numId w:val="0"/>
              </w:numPr>
            </w:pPr>
            <w:r w:rsidRPr="00A50F72">
              <w:t>Number of homes delivered</w:t>
            </w:r>
          </w:p>
        </w:tc>
        <w:tc>
          <w:tcPr>
            <w:tcW w:w="993" w:type="dxa"/>
            <w:tcBorders>
              <w:top w:val="single" w:sz="4" w:space="0" w:color="auto"/>
              <w:left w:val="single" w:sz="4" w:space="0" w:color="auto"/>
              <w:bottom w:val="single" w:sz="4" w:space="0" w:color="auto"/>
              <w:right w:val="single" w:sz="4" w:space="0" w:color="auto"/>
            </w:tcBorders>
          </w:tcPr>
          <w:p w14:paraId="56AB2442" w14:textId="063BFE73" w:rsidR="00B158EF" w:rsidRPr="00A50F72" w:rsidRDefault="00B158EF" w:rsidP="00B158EF">
            <w:pPr>
              <w:numPr>
                <w:ilvl w:val="0"/>
                <w:numId w:val="0"/>
              </w:numPr>
            </w:pPr>
            <w:r w:rsidRPr="00393AE2">
              <w:t>1</w:t>
            </w:r>
            <w:r>
              <w:t>,</w:t>
            </w:r>
            <w:r w:rsidRPr="00393AE2">
              <w:t>573</w:t>
            </w:r>
          </w:p>
        </w:tc>
        <w:tc>
          <w:tcPr>
            <w:tcW w:w="1010" w:type="dxa"/>
            <w:tcBorders>
              <w:top w:val="single" w:sz="4" w:space="0" w:color="auto"/>
              <w:left w:val="single" w:sz="4" w:space="0" w:color="auto"/>
              <w:bottom w:val="single" w:sz="4" w:space="0" w:color="auto"/>
              <w:right w:val="single" w:sz="4" w:space="0" w:color="auto"/>
            </w:tcBorders>
          </w:tcPr>
          <w:p w14:paraId="7E9ADA6E" w14:textId="469D34E1" w:rsidR="00B158EF" w:rsidRPr="00A50F72" w:rsidRDefault="00B158EF" w:rsidP="00B158EF">
            <w:pPr>
              <w:numPr>
                <w:ilvl w:val="0"/>
                <w:numId w:val="0"/>
              </w:numPr>
            </w:pPr>
            <w:r w:rsidRPr="00393AE2">
              <w:t>1</w:t>
            </w:r>
            <w:r>
              <w:t>,</w:t>
            </w:r>
            <w:r w:rsidRPr="00393AE2">
              <w:t>536</w:t>
            </w:r>
          </w:p>
        </w:tc>
        <w:tc>
          <w:tcPr>
            <w:tcW w:w="993" w:type="dxa"/>
            <w:tcBorders>
              <w:top w:val="single" w:sz="4" w:space="0" w:color="auto"/>
              <w:left w:val="single" w:sz="4" w:space="0" w:color="auto"/>
              <w:bottom w:val="single" w:sz="4" w:space="0" w:color="auto"/>
              <w:right w:val="single" w:sz="4" w:space="0" w:color="auto"/>
            </w:tcBorders>
          </w:tcPr>
          <w:p w14:paraId="15BAA1BA" w14:textId="180270EF" w:rsidR="00B158EF" w:rsidRPr="00A50F72" w:rsidRDefault="00B158EF" w:rsidP="00B158EF">
            <w:pPr>
              <w:numPr>
                <w:ilvl w:val="0"/>
                <w:numId w:val="0"/>
              </w:numPr>
            </w:pPr>
            <w:r w:rsidRPr="00393AE2">
              <w:t>1</w:t>
            </w:r>
            <w:r>
              <w:t>,</w:t>
            </w:r>
            <w:r w:rsidRPr="00393AE2">
              <w:t>646</w:t>
            </w:r>
          </w:p>
        </w:tc>
        <w:tc>
          <w:tcPr>
            <w:tcW w:w="1791" w:type="dxa"/>
            <w:tcBorders>
              <w:top w:val="single" w:sz="4" w:space="0" w:color="auto"/>
              <w:left w:val="single" w:sz="4" w:space="0" w:color="auto"/>
              <w:bottom w:val="single" w:sz="4" w:space="0" w:color="auto"/>
              <w:right w:val="single" w:sz="4" w:space="0" w:color="auto"/>
            </w:tcBorders>
          </w:tcPr>
          <w:p w14:paraId="33DB2879" w14:textId="30B34875" w:rsidR="00B158EF" w:rsidRPr="00A50F72" w:rsidRDefault="00B158EF" w:rsidP="00B158EF">
            <w:pPr>
              <w:numPr>
                <w:ilvl w:val="0"/>
                <w:numId w:val="0"/>
              </w:numPr>
            </w:pPr>
            <w:r w:rsidRPr="00393AE2">
              <w:t>4</w:t>
            </w:r>
            <w:r>
              <w:t>,</w:t>
            </w:r>
            <w:r w:rsidRPr="00393AE2">
              <w:t>755</w:t>
            </w:r>
          </w:p>
        </w:tc>
      </w:tr>
      <w:tr w:rsidR="00A50F72" w:rsidRPr="00A50F72" w14:paraId="20001279" w14:textId="77777777" w:rsidTr="00B158EF">
        <w:tc>
          <w:tcPr>
            <w:tcW w:w="3662" w:type="dxa"/>
            <w:tcBorders>
              <w:top w:val="single" w:sz="4" w:space="0" w:color="auto"/>
              <w:left w:val="single" w:sz="4" w:space="0" w:color="auto"/>
              <w:bottom w:val="single" w:sz="4" w:space="0" w:color="auto"/>
              <w:right w:val="single" w:sz="4" w:space="0" w:color="auto"/>
            </w:tcBorders>
            <w:hideMark/>
          </w:tcPr>
          <w:p w14:paraId="6A4BDAA6" w14:textId="77777777" w:rsidR="00A50F72" w:rsidRPr="00A50F72" w:rsidRDefault="00A50F72" w:rsidP="00A50F72">
            <w:pPr>
              <w:numPr>
                <w:ilvl w:val="0"/>
                <w:numId w:val="0"/>
              </w:numPr>
              <w:rPr>
                <w:b/>
                <w:bCs/>
              </w:rPr>
            </w:pPr>
            <w:r w:rsidRPr="00A50F72">
              <w:rPr>
                <w:b/>
                <w:bCs/>
              </w:rPr>
              <w:t xml:space="preserve">HDT measurement </w:t>
            </w:r>
          </w:p>
        </w:tc>
        <w:tc>
          <w:tcPr>
            <w:tcW w:w="993" w:type="dxa"/>
            <w:tcBorders>
              <w:top w:val="single" w:sz="4" w:space="0" w:color="auto"/>
              <w:left w:val="single" w:sz="4" w:space="0" w:color="auto"/>
              <w:bottom w:val="single" w:sz="4" w:space="0" w:color="auto"/>
              <w:right w:val="single" w:sz="4" w:space="0" w:color="auto"/>
            </w:tcBorders>
          </w:tcPr>
          <w:p w14:paraId="7B100E02" w14:textId="77777777" w:rsidR="00A50F72" w:rsidRPr="00A50F72" w:rsidRDefault="00A50F72" w:rsidP="00A50F72">
            <w:pPr>
              <w:numPr>
                <w:ilvl w:val="0"/>
                <w:numId w:val="0"/>
              </w:numPr>
              <w:rPr>
                <w:b/>
                <w:bCs/>
              </w:rPr>
            </w:pPr>
          </w:p>
        </w:tc>
        <w:tc>
          <w:tcPr>
            <w:tcW w:w="1010" w:type="dxa"/>
            <w:tcBorders>
              <w:top w:val="single" w:sz="4" w:space="0" w:color="auto"/>
              <w:left w:val="single" w:sz="4" w:space="0" w:color="auto"/>
              <w:bottom w:val="single" w:sz="4" w:space="0" w:color="auto"/>
              <w:right w:val="single" w:sz="4" w:space="0" w:color="auto"/>
            </w:tcBorders>
          </w:tcPr>
          <w:p w14:paraId="31F65EA9" w14:textId="77777777" w:rsidR="00A50F72" w:rsidRPr="00A50F72" w:rsidRDefault="00A50F72" w:rsidP="00A50F72">
            <w:pPr>
              <w:numPr>
                <w:ilvl w:val="0"/>
                <w:numId w:val="0"/>
              </w:numPr>
              <w:rPr>
                <w:b/>
                <w:bCs/>
              </w:rPr>
            </w:pPr>
          </w:p>
        </w:tc>
        <w:tc>
          <w:tcPr>
            <w:tcW w:w="993" w:type="dxa"/>
            <w:tcBorders>
              <w:top w:val="single" w:sz="4" w:space="0" w:color="auto"/>
              <w:left w:val="single" w:sz="4" w:space="0" w:color="auto"/>
              <w:bottom w:val="single" w:sz="4" w:space="0" w:color="auto"/>
              <w:right w:val="single" w:sz="4" w:space="0" w:color="auto"/>
            </w:tcBorders>
          </w:tcPr>
          <w:p w14:paraId="539A3DA7" w14:textId="77777777" w:rsidR="00A50F72" w:rsidRPr="00A50F72" w:rsidRDefault="00A50F72" w:rsidP="00A50F72">
            <w:pPr>
              <w:numPr>
                <w:ilvl w:val="0"/>
                <w:numId w:val="0"/>
              </w:numPr>
              <w:rPr>
                <w:b/>
                <w:bCs/>
              </w:rPr>
            </w:pPr>
          </w:p>
        </w:tc>
        <w:tc>
          <w:tcPr>
            <w:tcW w:w="1791" w:type="dxa"/>
            <w:tcBorders>
              <w:top w:val="single" w:sz="4" w:space="0" w:color="auto"/>
              <w:left w:val="single" w:sz="4" w:space="0" w:color="auto"/>
              <w:bottom w:val="single" w:sz="4" w:space="0" w:color="auto"/>
              <w:right w:val="single" w:sz="4" w:space="0" w:color="auto"/>
            </w:tcBorders>
          </w:tcPr>
          <w:p w14:paraId="5F3C1BB7" w14:textId="5BCF4AD2" w:rsidR="00A50F72" w:rsidRPr="00A50F72" w:rsidRDefault="00B158EF" w:rsidP="00A50F72">
            <w:pPr>
              <w:numPr>
                <w:ilvl w:val="0"/>
                <w:numId w:val="0"/>
              </w:numPr>
              <w:rPr>
                <w:b/>
                <w:bCs/>
              </w:rPr>
            </w:pPr>
            <w:r>
              <w:rPr>
                <w:b/>
                <w:bCs/>
              </w:rPr>
              <w:t>133%</w:t>
            </w:r>
          </w:p>
        </w:tc>
      </w:tr>
    </w:tbl>
    <w:p w14:paraId="5ADBB6A7" w14:textId="77777777" w:rsidR="000C17F6" w:rsidRDefault="000C17F6" w:rsidP="00911A25">
      <w:pPr>
        <w:numPr>
          <w:ilvl w:val="0"/>
          <w:numId w:val="0"/>
        </w:numPr>
      </w:pPr>
    </w:p>
    <w:p w14:paraId="5B18D82E" w14:textId="77FC6E80" w:rsidR="004C0D83" w:rsidRPr="0000012B" w:rsidRDefault="009404B6" w:rsidP="0000012B">
      <w:r>
        <w:t xml:space="preserve">The 133% represents an over delivery of units over the last three years of 461 units against the standard method. </w:t>
      </w:r>
      <w:r w:rsidR="008019CE" w:rsidRPr="00905EBF">
        <w:t>Both parties agree that from December 2018 when the Core Strategy became more that 5 years old, the housing requirement was calculated using the standard method set out in national guidance as set out the NPPF para 74 and footnote 39.</w:t>
      </w:r>
    </w:p>
    <w:p w14:paraId="33CFC67C" w14:textId="1C52FFAF" w:rsidR="00A50F72" w:rsidRDefault="00A50F72" w:rsidP="00306B23">
      <w:pPr>
        <w:pStyle w:val="Heading2"/>
      </w:pPr>
      <w:r>
        <w:t xml:space="preserve">Five year housing land supply </w:t>
      </w:r>
    </w:p>
    <w:p w14:paraId="60F6961C" w14:textId="3C737156" w:rsidR="00306B23" w:rsidRDefault="00306B23" w:rsidP="001066CB">
      <w:pPr>
        <w:pStyle w:val="Heading4"/>
      </w:pPr>
      <w:r>
        <w:t>The base date for the 5 year housing land supply calculation</w:t>
      </w:r>
    </w:p>
    <w:p w14:paraId="3D60723A" w14:textId="535435C7" w:rsidR="00461912" w:rsidRDefault="00461912" w:rsidP="00461912">
      <w:r w:rsidRPr="00461912">
        <w:t xml:space="preserve">The Council’s most recent assessment of 5 year supply is set out in </w:t>
      </w:r>
      <w:r w:rsidR="00F16AA8">
        <w:t>the South Gloucester Five Year Housing Land Supply Calculation 2021</w:t>
      </w:r>
      <w:r w:rsidRPr="00461912">
        <w:t xml:space="preserve">. The base date of this assessment is 1 April </w:t>
      </w:r>
      <w:r w:rsidR="00AB76E2">
        <w:t>202</w:t>
      </w:r>
      <w:r w:rsidR="00306B23">
        <w:t>1</w:t>
      </w:r>
      <w:r w:rsidRPr="00461912">
        <w:t xml:space="preserve"> and it covers the five year period 20</w:t>
      </w:r>
      <w:r w:rsidR="00AB76E2">
        <w:t>2</w:t>
      </w:r>
      <w:r w:rsidR="00306B23">
        <w:t>1</w:t>
      </w:r>
      <w:r w:rsidRPr="00461912">
        <w:t>/2</w:t>
      </w:r>
      <w:r w:rsidR="00306B23">
        <w:t>1</w:t>
      </w:r>
      <w:r w:rsidRPr="00461912">
        <w:t xml:space="preserve"> to 202</w:t>
      </w:r>
      <w:r w:rsidR="00306B23">
        <w:t>5</w:t>
      </w:r>
      <w:r w:rsidRPr="00461912">
        <w:t>/2</w:t>
      </w:r>
      <w:r w:rsidR="00306B23">
        <w:t>6</w:t>
      </w:r>
      <w:r w:rsidRPr="00461912">
        <w:t xml:space="preserve">. </w:t>
      </w:r>
      <w:r w:rsidR="001066CB">
        <w:t>Therefore, b</w:t>
      </w:r>
      <w:r w:rsidR="0023270C">
        <w:t>oth parties agree that the relevant 5-year period for the determination of this appeal is April 2021 to March 2026.</w:t>
      </w:r>
    </w:p>
    <w:p w14:paraId="3863206F" w14:textId="136E8186" w:rsidR="00160672" w:rsidRDefault="00160672" w:rsidP="001066CB">
      <w:pPr>
        <w:pStyle w:val="Heading4"/>
      </w:pPr>
      <w:r>
        <w:t xml:space="preserve">Housing </w:t>
      </w:r>
      <w:r w:rsidR="00F86921">
        <w:t>r</w:t>
      </w:r>
      <w:r>
        <w:t>equirement</w:t>
      </w:r>
      <w:r w:rsidR="00F86921">
        <w:t xml:space="preserve"> for the 5 year housing land supply calculation</w:t>
      </w:r>
    </w:p>
    <w:p w14:paraId="505E4EBA" w14:textId="7E3BBFD0" w:rsidR="00160672" w:rsidRDefault="00CA6197" w:rsidP="00160672">
      <w:r>
        <w:t xml:space="preserve">It is agreed that the housing land supply should be measured against the local housing need calculated using the standard method set out in national planning guidance, which results in an annual requirement of </w:t>
      </w:r>
      <w:r w:rsidR="008C2A1F">
        <w:t>1,35</w:t>
      </w:r>
      <w:r w:rsidR="0045049B">
        <w:t>3</w:t>
      </w:r>
      <w:r>
        <w:t xml:space="preserve"> dwellings. </w:t>
      </w:r>
      <w:r w:rsidR="002C5FC8">
        <w:t xml:space="preserve">  </w:t>
      </w:r>
    </w:p>
    <w:p w14:paraId="4CFF1BFF" w14:textId="2AB30C55" w:rsidR="00160672" w:rsidRDefault="00CA6197" w:rsidP="00160672">
      <w:r>
        <w:t xml:space="preserve">It is agreed that, as the five year housing land supply is to be measured against the local housing need, there is no requirement to specifically address under-delivery separately as this has been factored in through the standard method calculation. </w:t>
      </w:r>
    </w:p>
    <w:p w14:paraId="71E1EB16" w14:textId="6BF06714" w:rsidR="00160672" w:rsidRDefault="00160672" w:rsidP="00160672">
      <w:r>
        <w:t xml:space="preserve">Based on the published </w:t>
      </w:r>
      <w:r w:rsidR="00ED0D42">
        <w:t>results</w:t>
      </w:r>
      <w:r>
        <w:t xml:space="preserve"> for the Housing Delivery Test, both parties agree that a 5% buffer should be applied to the housing requirement</w:t>
      </w:r>
      <w:r w:rsidR="00ED0D42">
        <w:t xml:space="preserve"> in line with paragraph 7</w:t>
      </w:r>
      <w:r w:rsidR="00F86921">
        <w:t>4</w:t>
      </w:r>
      <w:r w:rsidR="00ED0D42">
        <w:t xml:space="preserve"> of the NPPF</w:t>
      </w:r>
      <w:r>
        <w:t xml:space="preserve">. </w:t>
      </w:r>
    </w:p>
    <w:p w14:paraId="39DB861C" w14:textId="08AAEBD4" w:rsidR="005E3F22" w:rsidRDefault="00160672" w:rsidP="00160672">
      <w:proofErr w:type="gramStart"/>
      <w:r>
        <w:t>As a consequence</w:t>
      </w:r>
      <w:proofErr w:type="gramEnd"/>
      <w:r>
        <w:t xml:space="preserve">, both parties agree that the total housing requirement for the 5-year period </w:t>
      </w:r>
      <w:r w:rsidR="00DA0B46">
        <w:t>i</w:t>
      </w:r>
      <w:r>
        <w:t xml:space="preserve">s </w:t>
      </w:r>
      <w:r w:rsidR="008C2A1F">
        <w:t>1,420.5</w:t>
      </w:r>
      <w:r w:rsidR="00B36456">
        <w:t xml:space="preserve"> </w:t>
      </w:r>
      <w:r>
        <w:t>dwellings. This means the following matters are agreed:</w:t>
      </w:r>
    </w:p>
    <w:tbl>
      <w:tblPr>
        <w:tblStyle w:val="TableGrid"/>
        <w:tblW w:w="8594" w:type="dxa"/>
        <w:tblInd w:w="4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
        <w:gridCol w:w="6884"/>
        <w:gridCol w:w="1009"/>
      </w:tblGrid>
      <w:tr w:rsidR="00160672" w:rsidRPr="00E84E7F" w14:paraId="25DF61E0" w14:textId="77777777" w:rsidTr="00DA0B46">
        <w:tc>
          <w:tcPr>
            <w:tcW w:w="704" w:type="dxa"/>
            <w:shd w:val="clear" w:color="auto" w:fill="E2F5F3"/>
          </w:tcPr>
          <w:p w14:paraId="68715711" w14:textId="70AFE447" w:rsidR="00160672" w:rsidRPr="00E84E7F" w:rsidRDefault="00DA0B46" w:rsidP="00160672">
            <w:pPr>
              <w:keepNext/>
              <w:numPr>
                <w:ilvl w:val="0"/>
                <w:numId w:val="0"/>
              </w:numPr>
              <w:ind w:left="567" w:hanging="567"/>
            </w:pPr>
            <w:r>
              <w:lastRenderedPageBreak/>
              <w:t>A</w:t>
            </w:r>
          </w:p>
        </w:tc>
        <w:tc>
          <w:tcPr>
            <w:tcW w:w="6946" w:type="dxa"/>
            <w:shd w:val="clear" w:color="auto" w:fill="E2F5F3"/>
          </w:tcPr>
          <w:p w14:paraId="5F261BD6" w14:textId="525DB667" w:rsidR="00160672" w:rsidRPr="00E84E7F" w:rsidRDefault="00DA0B46" w:rsidP="00160672">
            <w:pPr>
              <w:keepNext/>
              <w:numPr>
                <w:ilvl w:val="0"/>
                <w:numId w:val="0"/>
              </w:numPr>
            </w:pPr>
            <w:r>
              <w:t xml:space="preserve">Annual </w:t>
            </w:r>
            <w:r w:rsidR="00160672" w:rsidRPr="00E84E7F">
              <w:t xml:space="preserve">Local </w:t>
            </w:r>
            <w:r>
              <w:t>Housing Need</w:t>
            </w:r>
          </w:p>
        </w:tc>
        <w:tc>
          <w:tcPr>
            <w:tcW w:w="944" w:type="dxa"/>
            <w:shd w:val="clear" w:color="auto" w:fill="E2F5F3"/>
          </w:tcPr>
          <w:p w14:paraId="5406D9D3" w14:textId="73CE3140" w:rsidR="00160672" w:rsidRPr="00E84E7F" w:rsidRDefault="008C2A1F" w:rsidP="00160672">
            <w:pPr>
              <w:keepNext/>
              <w:numPr>
                <w:ilvl w:val="0"/>
                <w:numId w:val="0"/>
              </w:numPr>
              <w:ind w:left="567" w:hanging="567"/>
            </w:pPr>
            <w:r>
              <w:t>1,353</w:t>
            </w:r>
          </w:p>
        </w:tc>
      </w:tr>
      <w:tr w:rsidR="00160672" w:rsidRPr="00E84E7F" w14:paraId="2D7518EF" w14:textId="77777777" w:rsidTr="00DA0B46">
        <w:tc>
          <w:tcPr>
            <w:tcW w:w="704" w:type="dxa"/>
            <w:shd w:val="clear" w:color="auto" w:fill="E2F5F3"/>
          </w:tcPr>
          <w:p w14:paraId="05BA8946" w14:textId="3EFD2F4E" w:rsidR="00160672" w:rsidRPr="00E84E7F" w:rsidRDefault="00DA0B46" w:rsidP="00160672">
            <w:pPr>
              <w:keepNext/>
              <w:numPr>
                <w:ilvl w:val="0"/>
                <w:numId w:val="0"/>
              </w:numPr>
              <w:ind w:left="567" w:hanging="567"/>
            </w:pPr>
            <w:r>
              <w:t>B</w:t>
            </w:r>
          </w:p>
        </w:tc>
        <w:tc>
          <w:tcPr>
            <w:tcW w:w="6946" w:type="dxa"/>
            <w:shd w:val="clear" w:color="auto" w:fill="E2F5F3"/>
          </w:tcPr>
          <w:p w14:paraId="6030ED10" w14:textId="7555E742" w:rsidR="00160672" w:rsidRPr="00E84E7F" w:rsidRDefault="00DA0B46" w:rsidP="00B36456">
            <w:pPr>
              <w:keepNext/>
              <w:numPr>
                <w:ilvl w:val="0"/>
                <w:numId w:val="0"/>
              </w:numPr>
            </w:pPr>
            <w:r>
              <w:t>Five year requirement (A x 5)</w:t>
            </w:r>
            <w:r w:rsidR="00B36456" w:rsidRPr="00E84E7F">
              <w:t xml:space="preserve"> </w:t>
            </w:r>
          </w:p>
        </w:tc>
        <w:tc>
          <w:tcPr>
            <w:tcW w:w="944" w:type="dxa"/>
            <w:shd w:val="clear" w:color="auto" w:fill="E2F5F3"/>
          </w:tcPr>
          <w:p w14:paraId="50036636" w14:textId="7F678EFF" w:rsidR="00160672" w:rsidRPr="00E84E7F" w:rsidRDefault="008C2A1F" w:rsidP="00160672">
            <w:pPr>
              <w:keepNext/>
              <w:numPr>
                <w:ilvl w:val="0"/>
                <w:numId w:val="0"/>
              </w:numPr>
            </w:pPr>
            <w:r>
              <w:t>6,765</w:t>
            </w:r>
          </w:p>
        </w:tc>
      </w:tr>
      <w:tr w:rsidR="00160672" w:rsidRPr="00E84E7F" w14:paraId="7F9A2A2D" w14:textId="77777777" w:rsidTr="00DA0B46">
        <w:tc>
          <w:tcPr>
            <w:tcW w:w="704" w:type="dxa"/>
            <w:shd w:val="clear" w:color="auto" w:fill="E2F5F3"/>
          </w:tcPr>
          <w:p w14:paraId="6351487B" w14:textId="120CA5A5" w:rsidR="00160672" w:rsidRPr="00E84E7F" w:rsidRDefault="00DA0B46" w:rsidP="00160672">
            <w:pPr>
              <w:keepNext/>
              <w:numPr>
                <w:ilvl w:val="0"/>
                <w:numId w:val="0"/>
              </w:numPr>
              <w:ind w:left="567" w:hanging="567"/>
            </w:pPr>
            <w:r>
              <w:t>C</w:t>
            </w:r>
          </w:p>
        </w:tc>
        <w:tc>
          <w:tcPr>
            <w:tcW w:w="6946" w:type="dxa"/>
            <w:shd w:val="clear" w:color="auto" w:fill="E2F5F3"/>
          </w:tcPr>
          <w:p w14:paraId="40567492" w14:textId="0D300C19" w:rsidR="00160672" w:rsidRPr="00E84E7F" w:rsidRDefault="00160672" w:rsidP="00160672">
            <w:pPr>
              <w:keepNext/>
              <w:numPr>
                <w:ilvl w:val="0"/>
                <w:numId w:val="0"/>
              </w:numPr>
            </w:pPr>
            <w:r w:rsidRPr="00E84E7F">
              <w:t xml:space="preserve">Annual requirement for </w:t>
            </w:r>
            <w:r>
              <w:t>five-year</w:t>
            </w:r>
            <w:r w:rsidRPr="00E84E7F">
              <w:t xml:space="preserve"> period (including </w:t>
            </w:r>
            <w:r>
              <w:t>5</w:t>
            </w:r>
            <w:r w:rsidRPr="00E84E7F">
              <w:t>% buffer) [B+</w:t>
            </w:r>
            <w:r>
              <w:t>5</w:t>
            </w:r>
            <w:r w:rsidRPr="00E84E7F">
              <w:t>%]</w:t>
            </w:r>
          </w:p>
        </w:tc>
        <w:tc>
          <w:tcPr>
            <w:tcW w:w="944" w:type="dxa"/>
            <w:shd w:val="clear" w:color="auto" w:fill="E2F5F3"/>
          </w:tcPr>
          <w:p w14:paraId="4FC2CF5E" w14:textId="64CDC787" w:rsidR="00160672" w:rsidRPr="00E84E7F" w:rsidRDefault="008C2A1F" w:rsidP="00160672">
            <w:pPr>
              <w:keepNext/>
              <w:numPr>
                <w:ilvl w:val="0"/>
                <w:numId w:val="0"/>
              </w:numPr>
              <w:ind w:left="567" w:hanging="567"/>
            </w:pPr>
            <w:r>
              <w:t>7,103</w:t>
            </w:r>
          </w:p>
        </w:tc>
      </w:tr>
      <w:tr w:rsidR="00160672" w:rsidRPr="00E84E7F" w14:paraId="403C4174" w14:textId="77777777" w:rsidTr="00DA0B46">
        <w:tc>
          <w:tcPr>
            <w:tcW w:w="704" w:type="dxa"/>
            <w:shd w:val="clear" w:color="auto" w:fill="BBE7E1"/>
          </w:tcPr>
          <w:p w14:paraId="5851092A" w14:textId="246DEBDA" w:rsidR="00160672" w:rsidRDefault="00DA0B46" w:rsidP="00160672">
            <w:pPr>
              <w:keepNext/>
              <w:numPr>
                <w:ilvl w:val="0"/>
                <w:numId w:val="0"/>
              </w:numPr>
              <w:ind w:left="567" w:hanging="567"/>
              <w:rPr>
                <w:b/>
              </w:rPr>
            </w:pPr>
            <w:r>
              <w:rPr>
                <w:b/>
              </w:rPr>
              <w:t>D</w:t>
            </w:r>
          </w:p>
        </w:tc>
        <w:tc>
          <w:tcPr>
            <w:tcW w:w="6946" w:type="dxa"/>
            <w:shd w:val="clear" w:color="auto" w:fill="BBE7E1"/>
          </w:tcPr>
          <w:p w14:paraId="37D9842C" w14:textId="1A1999FC" w:rsidR="00160672" w:rsidRPr="00E84E7F" w:rsidRDefault="00160672" w:rsidP="00160672">
            <w:pPr>
              <w:keepNext/>
              <w:numPr>
                <w:ilvl w:val="0"/>
                <w:numId w:val="0"/>
              </w:numPr>
              <w:rPr>
                <w:b/>
              </w:rPr>
            </w:pPr>
            <w:r>
              <w:rPr>
                <w:b/>
              </w:rPr>
              <w:t>Five-</w:t>
            </w:r>
            <w:r w:rsidRPr="00E84E7F">
              <w:rPr>
                <w:b/>
              </w:rPr>
              <w:t xml:space="preserve">year requirement (including </w:t>
            </w:r>
            <w:r>
              <w:rPr>
                <w:b/>
              </w:rPr>
              <w:t>5</w:t>
            </w:r>
            <w:r w:rsidRPr="00E84E7F">
              <w:rPr>
                <w:b/>
              </w:rPr>
              <w:t>% buffer) [</w:t>
            </w:r>
            <w:r w:rsidR="00DA0B46">
              <w:rPr>
                <w:b/>
              </w:rPr>
              <w:t>C</w:t>
            </w:r>
            <w:r w:rsidRPr="00E84E7F">
              <w:rPr>
                <w:b/>
              </w:rPr>
              <w:t xml:space="preserve"> x 5]</w:t>
            </w:r>
          </w:p>
        </w:tc>
        <w:tc>
          <w:tcPr>
            <w:tcW w:w="944" w:type="dxa"/>
            <w:shd w:val="clear" w:color="auto" w:fill="BBE7E1"/>
          </w:tcPr>
          <w:p w14:paraId="2EB065C0" w14:textId="69B2B241" w:rsidR="00160672" w:rsidRPr="00E84E7F" w:rsidRDefault="008C2A1F" w:rsidP="00160672">
            <w:pPr>
              <w:keepNext/>
              <w:numPr>
                <w:ilvl w:val="0"/>
                <w:numId w:val="0"/>
              </w:numPr>
              <w:ind w:left="567" w:hanging="567"/>
              <w:rPr>
                <w:b/>
              </w:rPr>
            </w:pPr>
            <w:r>
              <w:rPr>
                <w:b/>
              </w:rPr>
              <w:t>1,420.5</w:t>
            </w:r>
          </w:p>
        </w:tc>
      </w:tr>
    </w:tbl>
    <w:p w14:paraId="7F58DEFE" w14:textId="5963FC88" w:rsidR="00356ADC" w:rsidRDefault="00356ADC" w:rsidP="00ED0D42">
      <w:pPr>
        <w:numPr>
          <w:ilvl w:val="0"/>
          <w:numId w:val="0"/>
        </w:numPr>
      </w:pPr>
    </w:p>
    <w:p w14:paraId="36E874D2" w14:textId="01DCA1B3" w:rsidR="00461912" w:rsidRDefault="00461912" w:rsidP="001066CB">
      <w:pPr>
        <w:pStyle w:val="Heading4"/>
      </w:pPr>
      <w:r>
        <w:t>Sources of supply</w:t>
      </w:r>
    </w:p>
    <w:p w14:paraId="2C2ADDD7" w14:textId="71C62444" w:rsidR="00560F93" w:rsidRDefault="00560F93" w:rsidP="00806E6F">
      <w:r>
        <w:t xml:space="preserve">It is agreed that the base date for the assessment of supply is 1 April </w:t>
      </w:r>
      <w:r w:rsidR="00AB76E2">
        <w:t>202</w:t>
      </w:r>
      <w:r w:rsidR="0023270C">
        <w:t>1</w:t>
      </w:r>
      <w:r>
        <w:t xml:space="preserve">. </w:t>
      </w:r>
    </w:p>
    <w:p w14:paraId="1046FE29" w14:textId="2B2E9D12" w:rsidR="00461912" w:rsidRDefault="00114812" w:rsidP="00806E6F">
      <w:r>
        <w:t>It is agreed that the starting point for considering whether a site is deliverable or not for the purposes of 5YHLS assessments, is set out within the glossary of the NPPF and supported by para</w:t>
      </w:r>
      <w:r w:rsidR="00806E6F">
        <w:t>graph 007</w:t>
      </w:r>
      <w:r>
        <w:t xml:space="preserve"> of the PPG</w:t>
      </w:r>
      <w:r w:rsidR="00806E6F">
        <w:t xml:space="preserve"> (</w:t>
      </w:r>
      <w:r w:rsidR="00806E6F" w:rsidRPr="00806E6F">
        <w:t>ID: 68-007-20190722</w:t>
      </w:r>
      <w:r w:rsidR="00806E6F">
        <w:t>)</w:t>
      </w:r>
      <w:r>
        <w:t xml:space="preserve">. </w:t>
      </w:r>
    </w:p>
    <w:p w14:paraId="7A670DEE" w14:textId="07F248F9" w:rsidR="00806E6F" w:rsidRDefault="00806E6F" w:rsidP="00806E6F">
      <w:r>
        <w:t xml:space="preserve">The definition of a deliverable site as provided in the NPPF is: </w:t>
      </w:r>
    </w:p>
    <w:p w14:paraId="7B830FA4" w14:textId="127D642D" w:rsidR="00806E6F" w:rsidRPr="00806E6F" w:rsidRDefault="00806E6F" w:rsidP="00806E6F">
      <w:pPr>
        <w:numPr>
          <w:ilvl w:val="0"/>
          <w:numId w:val="0"/>
        </w:numPr>
        <w:ind w:left="993"/>
        <w:rPr>
          <w:i/>
        </w:rPr>
      </w:pPr>
      <w:r w:rsidRPr="00806E6F">
        <w:rPr>
          <w:i/>
        </w:rPr>
        <w:t>To be considered deliverable, sites for housing should be available now, offer a suitable location for development now, and be achievable with a realistic prospect that housing will be delivered on the site within five years. In particular:</w:t>
      </w:r>
    </w:p>
    <w:p w14:paraId="2A029472" w14:textId="798F3848" w:rsidR="00806E6F" w:rsidRPr="00806E6F" w:rsidRDefault="00806E6F" w:rsidP="00806E6F">
      <w:pPr>
        <w:pStyle w:val="ListParagraph"/>
        <w:numPr>
          <w:ilvl w:val="0"/>
          <w:numId w:val="25"/>
        </w:numPr>
        <w:rPr>
          <w:i/>
        </w:rPr>
      </w:pPr>
      <w:r w:rsidRPr="00806E6F">
        <w:rPr>
          <w:i/>
        </w:rPr>
        <w:t>sites which do not involve major development and have planning permission, and all sites with detailed planning permission, should be considered deliverable until permission expires, unless there is clear evidence that homes will not be delivered within five years (for example because they are no longer viable, there is no longer a demand for the type of units or sites have long term phasing plans).</w:t>
      </w:r>
    </w:p>
    <w:p w14:paraId="66655230" w14:textId="10B7FDA6" w:rsidR="00806E6F" w:rsidRPr="00806E6F" w:rsidRDefault="00806E6F" w:rsidP="00806E6F">
      <w:pPr>
        <w:pStyle w:val="ListParagraph"/>
        <w:numPr>
          <w:ilvl w:val="0"/>
          <w:numId w:val="25"/>
        </w:numPr>
        <w:rPr>
          <w:i/>
        </w:rPr>
      </w:pPr>
      <w:r w:rsidRPr="00806E6F">
        <w:rPr>
          <w:i/>
        </w:rPr>
        <w:t>where a site has outline planning permission for major development, has been allocated in a development plan, has a grant of permission in principle, or is identified on a brownfield register, it should only be considered deliverable where there is clear evidence that housing completions will begin on site within five years.</w:t>
      </w:r>
    </w:p>
    <w:p w14:paraId="2A051C04" w14:textId="25908A71" w:rsidR="00114812" w:rsidRDefault="00114812" w:rsidP="00114812">
      <w:r>
        <w:t>Both parties agree that the categories for sites set out in the Council’s 20</w:t>
      </w:r>
      <w:r w:rsidR="00AB76E2">
        <w:t>2</w:t>
      </w:r>
      <w:r w:rsidR="0023270C">
        <w:t>1</w:t>
      </w:r>
      <w:r>
        <w:t xml:space="preserve"> </w:t>
      </w:r>
      <w:r w:rsidR="008C2A1F">
        <w:t>Housing Trajectory</w:t>
      </w:r>
      <w:r>
        <w:t xml:space="preserve"> are capable of being used to identify deliverable sites for the purposes of the definition set out in the NPPF. </w:t>
      </w:r>
    </w:p>
    <w:p w14:paraId="351BCA4C" w14:textId="64BBB87D" w:rsidR="001D65C2" w:rsidRDefault="001D65C2" w:rsidP="00114812">
      <w:r>
        <w:t>The following adjustments to the Council’s trajectory are agreed:</w:t>
      </w:r>
    </w:p>
    <w:p w14:paraId="604652DC" w14:textId="5638D349" w:rsidR="00DE6D65" w:rsidRDefault="00DE6D65" w:rsidP="001D65C2">
      <w:pPr>
        <w:pStyle w:val="ListParagraph"/>
        <w:numPr>
          <w:ilvl w:val="0"/>
          <w:numId w:val="32"/>
        </w:numPr>
      </w:pPr>
      <w:r>
        <w:t xml:space="preserve">0256 – The </w:t>
      </w:r>
      <w:proofErr w:type="spellStart"/>
      <w:r>
        <w:t>Hoodlands</w:t>
      </w:r>
      <w:proofErr w:type="spellEnd"/>
      <w:r>
        <w:t xml:space="preserve"> – 2 dwellings should be removed (for the reasons set out on </w:t>
      </w:r>
      <w:r w:rsidR="006B4865">
        <w:t>page 23, paragraph 5.2 of Ms Paterson’s Rebuttal Proof of Evidence);</w:t>
      </w:r>
    </w:p>
    <w:p w14:paraId="5D0E8D61" w14:textId="1D6E2AC6" w:rsidR="006B4865" w:rsidRDefault="006B4865" w:rsidP="001D65C2">
      <w:pPr>
        <w:pStyle w:val="ListParagraph"/>
        <w:numPr>
          <w:ilvl w:val="0"/>
          <w:numId w:val="32"/>
        </w:numPr>
      </w:pPr>
      <w:r>
        <w:t xml:space="preserve">0226 – </w:t>
      </w:r>
      <w:proofErr w:type="spellStart"/>
      <w:r>
        <w:t>Watermore</w:t>
      </w:r>
      <w:proofErr w:type="spellEnd"/>
      <w:r>
        <w:t xml:space="preserve"> Primary School – 1 dwelling should be removed (for the reasons set out on page 33, paragraph 8 of Ms Paterson’s Rebuttal Proof of Evidence)</w:t>
      </w:r>
      <w:r w:rsidR="00A31BAE">
        <w:t>;</w:t>
      </w:r>
    </w:p>
    <w:p w14:paraId="10A1920B" w14:textId="68F6D495" w:rsidR="001D65C2" w:rsidRDefault="001D65C2" w:rsidP="001D65C2">
      <w:pPr>
        <w:pStyle w:val="ListParagraph"/>
        <w:numPr>
          <w:ilvl w:val="0"/>
          <w:numId w:val="32"/>
        </w:numPr>
      </w:pPr>
      <w:r>
        <w:t>0227 – Cleve Park, Thornbury – 14 dwellings should be removed (for the reasons set out on page 34 of Ms Paterson's Rebuttal Proof of Evidence);</w:t>
      </w:r>
    </w:p>
    <w:p w14:paraId="4F5FF4AA" w14:textId="5CDFC73D" w:rsidR="001D65C2" w:rsidRDefault="001D65C2" w:rsidP="001D65C2">
      <w:pPr>
        <w:pStyle w:val="ListParagraph"/>
        <w:numPr>
          <w:ilvl w:val="0"/>
          <w:numId w:val="32"/>
        </w:numPr>
      </w:pPr>
      <w:r>
        <w:t xml:space="preserve">0036az – Parcel 30 Emersons Green – 5 dwellings should be removed (for the reasons set out on page </w:t>
      </w:r>
      <w:r w:rsidR="00DE6D65">
        <w:t>40 of Ms Paterson’s Rebuttal Proof of Evidence)</w:t>
      </w:r>
      <w:r>
        <w:t>;</w:t>
      </w:r>
      <w:r w:rsidR="00A31BAE">
        <w:t xml:space="preserve"> and</w:t>
      </w:r>
    </w:p>
    <w:p w14:paraId="2B3B4D6B" w14:textId="220FDCE3" w:rsidR="001D65C2" w:rsidRDefault="001D65C2" w:rsidP="001D65C2">
      <w:pPr>
        <w:pStyle w:val="ListParagraph"/>
        <w:numPr>
          <w:ilvl w:val="0"/>
          <w:numId w:val="32"/>
        </w:numPr>
      </w:pPr>
      <w:r>
        <w:t>0250a – Land east of North Road, Yate – 1 dwelling should be removed</w:t>
      </w:r>
      <w:r w:rsidR="00DE6D65">
        <w:t xml:space="preserve"> (For the reasons set out on page 39 of Ms Paterson's Rebuttal Proof of Evidence)</w:t>
      </w:r>
      <w:r w:rsidR="00A31BAE">
        <w:t>.</w:t>
      </w:r>
    </w:p>
    <w:p w14:paraId="0A8FBAF7" w14:textId="77777777" w:rsidR="00A31BAE" w:rsidRDefault="00A31BAE" w:rsidP="00A2355B">
      <w:pPr>
        <w:numPr>
          <w:ilvl w:val="0"/>
          <w:numId w:val="0"/>
        </w:numPr>
        <w:ind w:left="567"/>
      </w:pPr>
    </w:p>
    <w:p w14:paraId="5599B40D" w14:textId="0B4D79B2" w:rsidR="00A31BAE" w:rsidRDefault="00A31BAE" w:rsidP="00A2355B">
      <w:r>
        <w:lastRenderedPageBreak/>
        <w:t>This means that the Council’s supply figure is 8,701 dwellings (i.e. 8,724 – 2 – 1 – 14 – 5 – 1 = 8,701).</w:t>
      </w:r>
    </w:p>
    <w:p w14:paraId="47A9E2A2" w14:textId="77777777" w:rsidR="00E92818" w:rsidRDefault="00E92818" w:rsidP="00911A25">
      <w:pPr>
        <w:numPr>
          <w:ilvl w:val="0"/>
          <w:numId w:val="0"/>
        </w:numPr>
      </w:pPr>
    </w:p>
    <w:p w14:paraId="2187DFA4" w14:textId="77777777" w:rsidR="00EE2316" w:rsidRDefault="00EE2316">
      <w:pPr>
        <w:numPr>
          <w:ilvl w:val="0"/>
          <w:numId w:val="0"/>
        </w:numPr>
        <w:rPr>
          <w:rFonts w:eastAsiaTheme="majorEastAsia" w:cstheme="majorBidi"/>
          <w:b/>
          <w:color w:val="28A191"/>
          <w:sz w:val="32"/>
          <w:szCs w:val="32"/>
        </w:rPr>
      </w:pPr>
      <w:r>
        <w:br w:type="page"/>
      </w:r>
    </w:p>
    <w:p w14:paraId="6A0DE17D" w14:textId="578EEF87" w:rsidR="00E92818" w:rsidRDefault="00E92818" w:rsidP="00EE2316">
      <w:pPr>
        <w:pStyle w:val="Heading1"/>
        <w:rPr>
          <w:b w:val="0"/>
        </w:rPr>
      </w:pPr>
      <w:r w:rsidRPr="00911A25">
        <w:lastRenderedPageBreak/>
        <w:t xml:space="preserve">Matters of disagreement </w:t>
      </w:r>
    </w:p>
    <w:p w14:paraId="32964E30" w14:textId="77777777" w:rsidR="00EE2316" w:rsidRDefault="0000012B" w:rsidP="00EE2316">
      <w:pPr>
        <w:pStyle w:val="Heading2"/>
      </w:pPr>
      <w:r>
        <w:t>Net housing completions</w:t>
      </w:r>
    </w:p>
    <w:p w14:paraId="7778DCC8" w14:textId="6D04D158" w:rsidR="00EE2316" w:rsidRDefault="009A6655" w:rsidP="00EE2316">
      <w:r>
        <w:t xml:space="preserve">The Appellant </w:t>
      </w:r>
      <w:r w:rsidR="00F65D47">
        <w:t xml:space="preserve">considers </w:t>
      </w:r>
      <w:r w:rsidR="0000012B">
        <w:t>that it is relevant to consider past completions as against the Core Strategy</w:t>
      </w:r>
      <w:r w:rsidR="00925C9A">
        <w:t xml:space="preserve"> housing requirement</w:t>
      </w:r>
      <w:r w:rsidR="00A42EF5">
        <w:t xml:space="preserve"> </w:t>
      </w:r>
      <w:r w:rsidR="00EE2316">
        <w:t>as set out in section 4 of Mr Pycroft’s proof of evidence (tables 4.1 and 4.2</w:t>
      </w:r>
      <w:r w:rsidR="00F65D47">
        <w:t>)</w:t>
      </w:r>
      <w:r w:rsidR="00A42EF5">
        <w:t>.</w:t>
      </w:r>
      <w:r w:rsidR="00EE2316">
        <w:t xml:space="preserve"> </w:t>
      </w:r>
      <w:r w:rsidR="00F65D47">
        <w:t>The Appellant also considers that it is relevant that the Council will not meet the plan-led housing requirement as set out in the Core Strategy. The Appellant considers that against the adopted housing requirement there is a shortfall of 1,181 dwellings even based on the Council’s trajectory.</w:t>
      </w:r>
    </w:p>
    <w:p w14:paraId="7D506FCA" w14:textId="0917F75A" w:rsidR="0000012B" w:rsidRPr="0000012B" w:rsidRDefault="00A42EF5" w:rsidP="00EE2316">
      <w:r>
        <w:t xml:space="preserve">The Council disagrees as it considers that the LHN assessment method, that is to be used when a plan is more than five years old, resets the housing requirement position including </w:t>
      </w:r>
      <w:proofErr w:type="gramStart"/>
      <w:r>
        <w:t>taking into account</w:t>
      </w:r>
      <w:proofErr w:type="gramEnd"/>
      <w:r>
        <w:t xml:space="preserve"> any backlog. The Council considers that the Core Strategy policy that contains the housing requirement for the District is no longer a most important policy given that the Core Strategy is more than five years old and that the use of this figure is not relevant to consideration of the housing requirement and the five ye</w:t>
      </w:r>
      <w:r w:rsidR="00925C9A">
        <w:t>ar supply</w:t>
      </w:r>
      <w:r>
        <w:t xml:space="preserve">. </w:t>
      </w:r>
    </w:p>
    <w:p w14:paraId="7080E074" w14:textId="77777777" w:rsidR="00EE2316" w:rsidRDefault="00EE2316">
      <w:pPr>
        <w:numPr>
          <w:ilvl w:val="0"/>
          <w:numId w:val="0"/>
        </w:numPr>
        <w:rPr>
          <w:rFonts w:eastAsiaTheme="majorEastAsia" w:cstheme="majorBidi"/>
          <w:color w:val="2E74B5" w:themeColor="accent1" w:themeShade="BF"/>
          <w:sz w:val="26"/>
          <w:szCs w:val="26"/>
        </w:rPr>
      </w:pPr>
      <w:r>
        <w:br w:type="page"/>
      </w:r>
    </w:p>
    <w:p w14:paraId="395BA7DB" w14:textId="77777777" w:rsidR="00EE2316" w:rsidRDefault="00072999" w:rsidP="00EE2316">
      <w:pPr>
        <w:pStyle w:val="Heading2"/>
      </w:pPr>
      <w:r>
        <w:lastRenderedPageBreak/>
        <w:t>Deductions to the supply set out in the Housing Trajectory</w:t>
      </w:r>
    </w:p>
    <w:p w14:paraId="5615AB27" w14:textId="28F425D2" w:rsidR="00072999" w:rsidRDefault="00072999" w:rsidP="00EE2316">
      <w:r>
        <w:t xml:space="preserve">The Appellant considers that the following deductions should be made to the </w:t>
      </w:r>
      <w:r w:rsidR="00F06845">
        <w:t xml:space="preserve">Council’s </w:t>
      </w:r>
      <w:r>
        <w:t>supply</w:t>
      </w:r>
      <w:r w:rsidR="005130D5">
        <w:t>:</w:t>
      </w:r>
    </w:p>
    <w:p w14:paraId="795A3ED8" w14:textId="7BA07682" w:rsidR="005130D5" w:rsidRDefault="005130D5" w:rsidP="005130D5">
      <w:pPr>
        <w:pStyle w:val="Heading4"/>
      </w:pPr>
      <w:r>
        <w:t xml:space="preserve">Table </w:t>
      </w:r>
      <w:r w:rsidR="00030D18">
        <w:t>2</w:t>
      </w:r>
      <w:r>
        <w:t xml:space="preserve">: Deductions to </w:t>
      </w:r>
      <w:r w:rsidR="00BC1156">
        <w:t>South Gloucestershire’s</w:t>
      </w:r>
      <w:r>
        <w:t xml:space="preserve"> supply made by the Appellant </w:t>
      </w:r>
    </w:p>
    <w:tbl>
      <w:tblPr>
        <w:tblStyle w:val="TableGrid"/>
        <w:tblW w:w="9214" w:type="dxa"/>
        <w:tblInd w:w="137" w:type="dxa"/>
        <w:tblLook w:val="04A0" w:firstRow="1" w:lastRow="0" w:firstColumn="1" w:lastColumn="0" w:noHBand="0" w:noVBand="1"/>
      </w:tblPr>
      <w:tblGrid>
        <w:gridCol w:w="981"/>
        <w:gridCol w:w="3962"/>
        <w:gridCol w:w="1407"/>
        <w:gridCol w:w="1478"/>
        <w:gridCol w:w="1386"/>
      </w:tblGrid>
      <w:tr w:rsidR="005130D5" w:rsidRPr="00F06845" w14:paraId="12D6F449" w14:textId="77777777" w:rsidTr="00A2355B">
        <w:tc>
          <w:tcPr>
            <w:tcW w:w="981" w:type="dxa"/>
          </w:tcPr>
          <w:p w14:paraId="3DF97A2D" w14:textId="43EF0E61" w:rsidR="005130D5" w:rsidRPr="00F06845" w:rsidRDefault="005130D5" w:rsidP="005130D5">
            <w:pPr>
              <w:numPr>
                <w:ilvl w:val="0"/>
                <w:numId w:val="0"/>
              </w:numPr>
              <w:rPr>
                <w:b/>
                <w:bCs/>
              </w:rPr>
            </w:pPr>
            <w:r w:rsidRPr="00F06845">
              <w:rPr>
                <w:b/>
                <w:bCs/>
              </w:rPr>
              <w:t>Site ref</w:t>
            </w:r>
          </w:p>
        </w:tc>
        <w:tc>
          <w:tcPr>
            <w:tcW w:w="3962" w:type="dxa"/>
          </w:tcPr>
          <w:p w14:paraId="26D0E6D1" w14:textId="32964256" w:rsidR="005130D5" w:rsidRPr="00F06845" w:rsidRDefault="005130D5" w:rsidP="005130D5">
            <w:pPr>
              <w:numPr>
                <w:ilvl w:val="0"/>
                <w:numId w:val="0"/>
              </w:numPr>
              <w:rPr>
                <w:b/>
                <w:bCs/>
              </w:rPr>
            </w:pPr>
            <w:r w:rsidRPr="00F06845">
              <w:rPr>
                <w:b/>
                <w:bCs/>
              </w:rPr>
              <w:t>Site</w:t>
            </w:r>
          </w:p>
        </w:tc>
        <w:tc>
          <w:tcPr>
            <w:tcW w:w="1407" w:type="dxa"/>
          </w:tcPr>
          <w:p w14:paraId="3733AAEE" w14:textId="5EE4198B" w:rsidR="005130D5" w:rsidRPr="00F06845" w:rsidRDefault="005130D5" w:rsidP="005130D5">
            <w:pPr>
              <w:numPr>
                <w:ilvl w:val="0"/>
                <w:numId w:val="0"/>
              </w:numPr>
              <w:rPr>
                <w:b/>
                <w:bCs/>
              </w:rPr>
            </w:pPr>
            <w:r w:rsidRPr="00F06845">
              <w:rPr>
                <w:b/>
                <w:bCs/>
              </w:rPr>
              <w:t>Council’s 5YS</w:t>
            </w:r>
          </w:p>
        </w:tc>
        <w:tc>
          <w:tcPr>
            <w:tcW w:w="1478" w:type="dxa"/>
          </w:tcPr>
          <w:p w14:paraId="54313F7B" w14:textId="48DE2BE7" w:rsidR="005130D5" w:rsidRPr="00F06845" w:rsidRDefault="005130D5" w:rsidP="005130D5">
            <w:pPr>
              <w:numPr>
                <w:ilvl w:val="0"/>
                <w:numId w:val="0"/>
              </w:numPr>
              <w:rPr>
                <w:b/>
                <w:bCs/>
              </w:rPr>
            </w:pPr>
            <w:r w:rsidRPr="00F06845">
              <w:rPr>
                <w:b/>
                <w:bCs/>
              </w:rPr>
              <w:t>Appellant’s 5YS</w:t>
            </w:r>
          </w:p>
        </w:tc>
        <w:tc>
          <w:tcPr>
            <w:tcW w:w="1386" w:type="dxa"/>
          </w:tcPr>
          <w:p w14:paraId="005D356B" w14:textId="64A451B1" w:rsidR="005130D5" w:rsidRPr="00F06845" w:rsidRDefault="005130D5" w:rsidP="005130D5">
            <w:pPr>
              <w:numPr>
                <w:ilvl w:val="0"/>
                <w:numId w:val="0"/>
              </w:numPr>
              <w:rPr>
                <w:b/>
                <w:bCs/>
              </w:rPr>
            </w:pPr>
            <w:r w:rsidRPr="00F06845">
              <w:rPr>
                <w:b/>
                <w:bCs/>
              </w:rPr>
              <w:t>Deduction</w:t>
            </w:r>
          </w:p>
        </w:tc>
      </w:tr>
      <w:tr w:rsidR="005130D5" w14:paraId="66E4A84D" w14:textId="77777777" w:rsidTr="00A2355B">
        <w:tc>
          <w:tcPr>
            <w:tcW w:w="981" w:type="dxa"/>
          </w:tcPr>
          <w:p w14:paraId="5B6640A7" w14:textId="7D05EFA8" w:rsidR="005130D5" w:rsidRPr="000D1876" w:rsidRDefault="005130D5" w:rsidP="005130D5">
            <w:pPr>
              <w:numPr>
                <w:ilvl w:val="0"/>
                <w:numId w:val="0"/>
              </w:numPr>
              <w:rPr>
                <w:sz w:val="20"/>
                <w:szCs w:val="20"/>
              </w:rPr>
            </w:pPr>
            <w:r w:rsidRPr="000D1876">
              <w:rPr>
                <w:rFonts w:eastAsia="Times New Roman" w:cs="Arial"/>
                <w:color w:val="000000"/>
                <w:sz w:val="20"/>
                <w:szCs w:val="20"/>
                <w:lang w:eastAsia="en-GB"/>
              </w:rPr>
              <w:t>0134a</w:t>
            </w:r>
          </w:p>
        </w:tc>
        <w:tc>
          <w:tcPr>
            <w:tcW w:w="3962" w:type="dxa"/>
          </w:tcPr>
          <w:p w14:paraId="7CCB2E59" w14:textId="58F87C27" w:rsidR="005130D5" w:rsidRPr="000D1876" w:rsidRDefault="005130D5" w:rsidP="005130D5">
            <w:pPr>
              <w:numPr>
                <w:ilvl w:val="0"/>
                <w:numId w:val="0"/>
              </w:numPr>
              <w:rPr>
                <w:sz w:val="20"/>
                <w:szCs w:val="20"/>
              </w:rPr>
            </w:pPr>
            <w:r w:rsidRPr="000D1876">
              <w:rPr>
                <w:rFonts w:eastAsia="Times New Roman" w:cs="Arial"/>
                <w:sz w:val="20"/>
                <w:szCs w:val="20"/>
                <w:lang w:eastAsia="en-GB"/>
              </w:rPr>
              <w:t>Cribbs/Patchway NN - West of A4018 Haw wood</w:t>
            </w:r>
          </w:p>
        </w:tc>
        <w:tc>
          <w:tcPr>
            <w:tcW w:w="1407" w:type="dxa"/>
            <w:vAlign w:val="center"/>
          </w:tcPr>
          <w:p w14:paraId="19BDFD07" w14:textId="016864F5" w:rsidR="005130D5" w:rsidRPr="000D1876" w:rsidRDefault="005130D5" w:rsidP="005130D5">
            <w:pPr>
              <w:numPr>
                <w:ilvl w:val="0"/>
                <w:numId w:val="0"/>
              </w:numPr>
              <w:jc w:val="center"/>
              <w:rPr>
                <w:sz w:val="20"/>
                <w:szCs w:val="20"/>
              </w:rPr>
            </w:pPr>
            <w:r w:rsidRPr="000D1876">
              <w:rPr>
                <w:rFonts w:eastAsia="Times New Roman" w:cs="Arial"/>
                <w:color w:val="000000"/>
                <w:sz w:val="20"/>
                <w:szCs w:val="20"/>
                <w:lang w:eastAsia="en-GB"/>
              </w:rPr>
              <w:t>61</w:t>
            </w:r>
          </w:p>
        </w:tc>
        <w:tc>
          <w:tcPr>
            <w:tcW w:w="1478" w:type="dxa"/>
            <w:vAlign w:val="center"/>
          </w:tcPr>
          <w:p w14:paraId="28A0B037" w14:textId="1CF5C992" w:rsidR="005130D5" w:rsidRPr="000D1876" w:rsidRDefault="005130D5" w:rsidP="005130D5">
            <w:pPr>
              <w:numPr>
                <w:ilvl w:val="0"/>
                <w:numId w:val="0"/>
              </w:numPr>
              <w:jc w:val="center"/>
              <w:rPr>
                <w:sz w:val="20"/>
                <w:szCs w:val="20"/>
              </w:rPr>
            </w:pPr>
            <w:r w:rsidRPr="000D1876">
              <w:rPr>
                <w:rFonts w:eastAsia="Times New Roman" w:cs="Arial"/>
                <w:color w:val="000000"/>
                <w:sz w:val="20"/>
                <w:szCs w:val="20"/>
                <w:lang w:eastAsia="en-GB"/>
              </w:rPr>
              <w:t>0</w:t>
            </w:r>
          </w:p>
        </w:tc>
        <w:tc>
          <w:tcPr>
            <w:tcW w:w="1386" w:type="dxa"/>
            <w:vAlign w:val="center"/>
          </w:tcPr>
          <w:p w14:paraId="3794EA13" w14:textId="0D14B052" w:rsidR="005130D5" w:rsidRPr="000D1876" w:rsidRDefault="00CC428B" w:rsidP="005130D5">
            <w:pPr>
              <w:numPr>
                <w:ilvl w:val="0"/>
                <w:numId w:val="0"/>
              </w:numPr>
              <w:jc w:val="center"/>
              <w:rPr>
                <w:sz w:val="20"/>
                <w:szCs w:val="20"/>
              </w:rPr>
            </w:pPr>
            <w:r>
              <w:rPr>
                <w:rFonts w:eastAsia="Times New Roman" w:cs="Arial"/>
                <w:color w:val="000000"/>
                <w:sz w:val="20"/>
                <w:szCs w:val="20"/>
                <w:lang w:eastAsia="en-GB"/>
              </w:rPr>
              <w:t>-</w:t>
            </w:r>
            <w:r w:rsidR="005130D5" w:rsidRPr="000D1876">
              <w:rPr>
                <w:rFonts w:eastAsia="Times New Roman" w:cs="Arial"/>
                <w:color w:val="000000"/>
                <w:sz w:val="20"/>
                <w:szCs w:val="20"/>
                <w:lang w:eastAsia="en-GB"/>
              </w:rPr>
              <w:t>61</w:t>
            </w:r>
          </w:p>
        </w:tc>
      </w:tr>
      <w:tr w:rsidR="005130D5" w14:paraId="0D90C55E" w14:textId="77777777" w:rsidTr="00A2355B">
        <w:tc>
          <w:tcPr>
            <w:tcW w:w="981" w:type="dxa"/>
          </w:tcPr>
          <w:p w14:paraId="6D198429" w14:textId="67C7F272" w:rsidR="005130D5" w:rsidRPr="000D1876" w:rsidRDefault="005130D5" w:rsidP="005130D5">
            <w:pPr>
              <w:numPr>
                <w:ilvl w:val="0"/>
                <w:numId w:val="0"/>
              </w:numPr>
              <w:rPr>
                <w:sz w:val="20"/>
                <w:szCs w:val="20"/>
              </w:rPr>
            </w:pPr>
            <w:r w:rsidRPr="000D1876">
              <w:rPr>
                <w:rFonts w:eastAsia="Times New Roman" w:cs="Arial"/>
                <w:sz w:val="20"/>
                <w:szCs w:val="20"/>
                <w:lang w:eastAsia="en-GB"/>
              </w:rPr>
              <w:t>0134aa</w:t>
            </w:r>
          </w:p>
        </w:tc>
        <w:tc>
          <w:tcPr>
            <w:tcW w:w="3962" w:type="dxa"/>
          </w:tcPr>
          <w:p w14:paraId="06F01235" w14:textId="4FBFC619" w:rsidR="005130D5" w:rsidRPr="000D1876" w:rsidRDefault="005130D5" w:rsidP="005130D5">
            <w:pPr>
              <w:numPr>
                <w:ilvl w:val="0"/>
                <w:numId w:val="0"/>
              </w:numPr>
              <w:rPr>
                <w:sz w:val="20"/>
                <w:szCs w:val="20"/>
              </w:rPr>
            </w:pPr>
            <w:r w:rsidRPr="000D1876">
              <w:rPr>
                <w:rFonts w:eastAsia="Times New Roman" w:cs="Arial"/>
                <w:sz w:val="20"/>
                <w:szCs w:val="20"/>
                <w:lang w:eastAsia="en-GB"/>
              </w:rPr>
              <w:t>Land At Cribbs Causeway (Berwick Green / Haw Wood)</w:t>
            </w:r>
          </w:p>
        </w:tc>
        <w:tc>
          <w:tcPr>
            <w:tcW w:w="1407" w:type="dxa"/>
            <w:vAlign w:val="center"/>
          </w:tcPr>
          <w:p w14:paraId="42F731BA" w14:textId="45E22DC5" w:rsidR="005130D5" w:rsidRPr="000D1876" w:rsidRDefault="005130D5" w:rsidP="005130D5">
            <w:pPr>
              <w:numPr>
                <w:ilvl w:val="0"/>
                <w:numId w:val="0"/>
              </w:numPr>
              <w:jc w:val="center"/>
              <w:rPr>
                <w:sz w:val="20"/>
                <w:szCs w:val="20"/>
              </w:rPr>
            </w:pPr>
            <w:r w:rsidRPr="000D1876">
              <w:rPr>
                <w:rFonts w:eastAsia="Times New Roman" w:cs="Arial"/>
                <w:color w:val="000000"/>
                <w:sz w:val="20"/>
                <w:szCs w:val="20"/>
                <w:lang w:eastAsia="en-GB"/>
              </w:rPr>
              <w:t>162</w:t>
            </w:r>
          </w:p>
        </w:tc>
        <w:tc>
          <w:tcPr>
            <w:tcW w:w="1478" w:type="dxa"/>
            <w:vAlign w:val="center"/>
          </w:tcPr>
          <w:p w14:paraId="203B886F" w14:textId="1102A62A" w:rsidR="005130D5" w:rsidRPr="000D1876" w:rsidRDefault="005130D5" w:rsidP="005130D5">
            <w:pPr>
              <w:numPr>
                <w:ilvl w:val="0"/>
                <w:numId w:val="0"/>
              </w:numPr>
              <w:jc w:val="center"/>
              <w:rPr>
                <w:sz w:val="20"/>
                <w:szCs w:val="20"/>
              </w:rPr>
            </w:pPr>
            <w:r w:rsidRPr="000D1876">
              <w:rPr>
                <w:rFonts w:eastAsia="Times New Roman" w:cs="Arial"/>
                <w:color w:val="000000"/>
                <w:sz w:val="20"/>
                <w:szCs w:val="20"/>
                <w:lang w:eastAsia="en-GB"/>
              </w:rPr>
              <w:t>125</w:t>
            </w:r>
          </w:p>
        </w:tc>
        <w:tc>
          <w:tcPr>
            <w:tcW w:w="1386" w:type="dxa"/>
            <w:vAlign w:val="center"/>
          </w:tcPr>
          <w:p w14:paraId="26EDD854" w14:textId="6DBCFB20" w:rsidR="005130D5" w:rsidRPr="000D1876" w:rsidRDefault="00CC428B" w:rsidP="005130D5">
            <w:pPr>
              <w:numPr>
                <w:ilvl w:val="0"/>
                <w:numId w:val="0"/>
              </w:numPr>
              <w:jc w:val="center"/>
              <w:rPr>
                <w:sz w:val="20"/>
                <w:szCs w:val="20"/>
              </w:rPr>
            </w:pPr>
            <w:r>
              <w:rPr>
                <w:rFonts w:eastAsia="Times New Roman" w:cs="Arial"/>
                <w:color w:val="000000"/>
                <w:sz w:val="20"/>
                <w:szCs w:val="20"/>
                <w:lang w:eastAsia="en-GB"/>
              </w:rPr>
              <w:t>-</w:t>
            </w:r>
            <w:r w:rsidR="005130D5" w:rsidRPr="000D1876">
              <w:rPr>
                <w:rFonts w:eastAsia="Times New Roman" w:cs="Arial"/>
                <w:color w:val="000000"/>
                <w:sz w:val="20"/>
                <w:szCs w:val="20"/>
                <w:lang w:eastAsia="en-GB"/>
              </w:rPr>
              <w:t>37</w:t>
            </w:r>
          </w:p>
        </w:tc>
      </w:tr>
      <w:tr w:rsidR="005130D5" w14:paraId="5E768AE4" w14:textId="77777777" w:rsidTr="00A2355B">
        <w:tc>
          <w:tcPr>
            <w:tcW w:w="981" w:type="dxa"/>
          </w:tcPr>
          <w:p w14:paraId="05F05921" w14:textId="7CACE756" w:rsidR="005130D5" w:rsidRPr="000D1876" w:rsidRDefault="005130D5" w:rsidP="005130D5">
            <w:pPr>
              <w:numPr>
                <w:ilvl w:val="0"/>
                <w:numId w:val="0"/>
              </w:numPr>
              <w:rPr>
                <w:sz w:val="20"/>
                <w:szCs w:val="20"/>
              </w:rPr>
            </w:pPr>
            <w:r w:rsidRPr="000D1876">
              <w:rPr>
                <w:rFonts w:eastAsia="Times New Roman" w:cs="Arial"/>
                <w:sz w:val="20"/>
                <w:szCs w:val="20"/>
                <w:lang w:eastAsia="en-GB"/>
              </w:rPr>
              <w:t>0134ab</w:t>
            </w:r>
          </w:p>
        </w:tc>
        <w:tc>
          <w:tcPr>
            <w:tcW w:w="3962" w:type="dxa"/>
          </w:tcPr>
          <w:p w14:paraId="70980061" w14:textId="0B1F966F" w:rsidR="005130D5" w:rsidRPr="000D1876" w:rsidRDefault="005130D5" w:rsidP="005130D5">
            <w:pPr>
              <w:numPr>
                <w:ilvl w:val="0"/>
                <w:numId w:val="0"/>
              </w:numPr>
              <w:rPr>
                <w:sz w:val="20"/>
                <w:szCs w:val="20"/>
              </w:rPr>
            </w:pPr>
            <w:r w:rsidRPr="000D1876">
              <w:rPr>
                <w:rFonts w:eastAsia="Times New Roman" w:cs="Arial"/>
                <w:sz w:val="20"/>
                <w:szCs w:val="20"/>
                <w:lang w:eastAsia="en-GB"/>
              </w:rPr>
              <w:t>Parcels 14-19 Land At Cribbs Causeway (Berwick Green / Haw Wood)</w:t>
            </w:r>
          </w:p>
        </w:tc>
        <w:tc>
          <w:tcPr>
            <w:tcW w:w="1407" w:type="dxa"/>
            <w:vAlign w:val="center"/>
          </w:tcPr>
          <w:p w14:paraId="12538EB0" w14:textId="6CB8F637" w:rsidR="005130D5" w:rsidRPr="000D1876" w:rsidRDefault="005130D5" w:rsidP="005130D5">
            <w:pPr>
              <w:numPr>
                <w:ilvl w:val="0"/>
                <w:numId w:val="0"/>
              </w:numPr>
              <w:jc w:val="center"/>
              <w:rPr>
                <w:sz w:val="20"/>
                <w:szCs w:val="20"/>
              </w:rPr>
            </w:pPr>
            <w:r w:rsidRPr="000D1876">
              <w:rPr>
                <w:rFonts w:eastAsia="Times New Roman" w:cs="Arial"/>
                <w:color w:val="000000"/>
                <w:sz w:val="20"/>
                <w:szCs w:val="20"/>
                <w:lang w:eastAsia="en-GB"/>
              </w:rPr>
              <w:t>244</w:t>
            </w:r>
          </w:p>
        </w:tc>
        <w:tc>
          <w:tcPr>
            <w:tcW w:w="1478" w:type="dxa"/>
            <w:vAlign w:val="center"/>
          </w:tcPr>
          <w:p w14:paraId="2A95BCBF" w14:textId="0ECA9751" w:rsidR="005130D5" w:rsidRPr="000D1876" w:rsidRDefault="005130D5" w:rsidP="005130D5">
            <w:pPr>
              <w:numPr>
                <w:ilvl w:val="0"/>
                <w:numId w:val="0"/>
              </w:numPr>
              <w:jc w:val="center"/>
              <w:rPr>
                <w:sz w:val="20"/>
                <w:szCs w:val="20"/>
              </w:rPr>
            </w:pPr>
            <w:r w:rsidRPr="000D1876">
              <w:rPr>
                <w:rFonts w:eastAsia="Times New Roman" w:cs="Arial"/>
                <w:color w:val="000000"/>
                <w:sz w:val="20"/>
                <w:szCs w:val="20"/>
                <w:lang w:eastAsia="en-GB"/>
              </w:rPr>
              <w:t>0</w:t>
            </w:r>
          </w:p>
        </w:tc>
        <w:tc>
          <w:tcPr>
            <w:tcW w:w="1386" w:type="dxa"/>
            <w:vAlign w:val="center"/>
          </w:tcPr>
          <w:p w14:paraId="4D76B7D0" w14:textId="05FAE374" w:rsidR="005130D5" w:rsidRPr="000D1876" w:rsidRDefault="00CC428B" w:rsidP="005130D5">
            <w:pPr>
              <w:numPr>
                <w:ilvl w:val="0"/>
                <w:numId w:val="0"/>
              </w:numPr>
              <w:jc w:val="center"/>
              <w:rPr>
                <w:sz w:val="20"/>
                <w:szCs w:val="20"/>
              </w:rPr>
            </w:pPr>
            <w:r>
              <w:rPr>
                <w:rFonts w:eastAsia="Times New Roman" w:cs="Arial"/>
                <w:color w:val="000000"/>
                <w:sz w:val="20"/>
                <w:szCs w:val="20"/>
                <w:lang w:eastAsia="en-GB"/>
              </w:rPr>
              <w:t>-</w:t>
            </w:r>
            <w:r w:rsidR="005130D5" w:rsidRPr="000D1876">
              <w:rPr>
                <w:rFonts w:eastAsia="Times New Roman" w:cs="Arial"/>
                <w:color w:val="000000"/>
                <w:sz w:val="20"/>
                <w:szCs w:val="20"/>
                <w:lang w:eastAsia="en-GB"/>
              </w:rPr>
              <w:t>244</w:t>
            </w:r>
          </w:p>
        </w:tc>
      </w:tr>
      <w:tr w:rsidR="005130D5" w14:paraId="46955814" w14:textId="77777777" w:rsidTr="00A2355B">
        <w:tc>
          <w:tcPr>
            <w:tcW w:w="981" w:type="dxa"/>
          </w:tcPr>
          <w:p w14:paraId="04BB2EFD" w14:textId="1033CBFA" w:rsidR="005130D5" w:rsidRPr="000D1876" w:rsidRDefault="005130D5" w:rsidP="005130D5">
            <w:pPr>
              <w:numPr>
                <w:ilvl w:val="0"/>
                <w:numId w:val="0"/>
              </w:numPr>
              <w:rPr>
                <w:sz w:val="20"/>
                <w:szCs w:val="20"/>
              </w:rPr>
            </w:pPr>
            <w:r w:rsidRPr="000D1876">
              <w:rPr>
                <w:rFonts w:eastAsia="Times New Roman" w:cs="Arial"/>
                <w:sz w:val="20"/>
                <w:szCs w:val="20"/>
                <w:lang w:eastAsia="en-GB"/>
              </w:rPr>
              <w:t>0134b</w:t>
            </w:r>
          </w:p>
        </w:tc>
        <w:tc>
          <w:tcPr>
            <w:tcW w:w="3962" w:type="dxa"/>
          </w:tcPr>
          <w:p w14:paraId="1C065171" w14:textId="55DAE2A2" w:rsidR="005130D5" w:rsidRPr="000D1876" w:rsidRDefault="005130D5" w:rsidP="005130D5">
            <w:pPr>
              <w:numPr>
                <w:ilvl w:val="0"/>
                <w:numId w:val="0"/>
              </w:numPr>
              <w:rPr>
                <w:sz w:val="20"/>
                <w:szCs w:val="20"/>
              </w:rPr>
            </w:pPr>
            <w:r w:rsidRPr="000D1876">
              <w:rPr>
                <w:rFonts w:eastAsia="Times New Roman" w:cs="Arial"/>
                <w:sz w:val="20"/>
                <w:szCs w:val="20"/>
                <w:lang w:eastAsia="en-GB"/>
              </w:rPr>
              <w:t>Cribbs/Patchway NN - Wyke Beck Rd/Fishpool Hill</w:t>
            </w:r>
          </w:p>
        </w:tc>
        <w:tc>
          <w:tcPr>
            <w:tcW w:w="1407" w:type="dxa"/>
            <w:vAlign w:val="center"/>
          </w:tcPr>
          <w:p w14:paraId="396F1200" w14:textId="7A6DBD9F" w:rsidR="005130D5" w:rsidRPr="000D1876" w:rsidRDefault="005130D5" w:rsidP="005130D5">
            <w:pPr>
              <w:numPr>
                <w:ilvl w:val="0"/>
                <w:numId w:val="0"/>
              </w:numPr>
              <w:jc w:val="center"/>
              <w:rPr>
                <w:sz w:val="20"/>
                <w:szCs w:val="20"/>
              </w:rPr>
            </w:pPr>
            <w:r w:rsidRPr="000D1876">
              <w:rPr>
                <w:rFonts w:eastAsia="Times New Roman" w:cs="Arial"/>
                <w:color w:val="000000"/>
                <w:sz w:val="20"/>
                <w:szCs w:val="20"/>
                <w:lang w:eastAsia="en-GB"/>
              </w:rPr>
              <w:t>100</w:t>
            </w:r>
          </w:p>
        </w:tc>
        <w:tc>
          <w:tcPr>
            <w:tcW w:w="1478" w:type="dxa"/>
            <w:vAlign w:val="center"/>
          </w:tcPr>
          <w:p w14:paraId="75125B72" w14:textId="5F10771E" w:rsidR="005130D5" w:rsidRPr="000D1876" w:rsidRDefault="005130D5" w:rsidP="005130D5">
            <w:pPr>
              <w:numPr>
                <w:ilvl w:val="0"/>
                <w:numId w:val="0"/>
              </w:numPr>
              <w:jc w:val="center"/>
              <w:rPr>
                <w:sz w:val="20"/>
                <w:szCs w:val="20"/>
              </w:rPr>
            </w:pPr>
            <w:r w:rsidRPr="000D1876">
              <w:rPr>
                <w:rFonts w:eastAsia="Times New Roman" w:cs="Arial"/>
                <w:color w:val="000000"/>
                <w:sz w:val="20"/>
                <w:szCs w:val="20"/>
                <w:lang w:eastAsia="en-GB"/>
              </w:rPr>
              <w:t>0</w:t>
            </w:r>
          </w:p>
        </w:tc>
        <w:tc>
          <w:tcPr>
            <w:tcW w:w="1386" w:type="dxa"/>
            <w:vAlign w:val="center"/>
          </w:tcPr>
          <w:p w14:paraId="5C4B0F43" w14:textId="04F4911E" w:rsidR="005130D5" w:rsidRPr="000D1876" w:rsidRDefault="00CC428B" w:rsidP="005130D5">
            <w:pPr>
              <w:numPr>
                <w:ilvl w:val="0"/>
                <w:numId w:val="0"/>
              </w:numPr>
              <w:jc w:val="center"/>
              <w:rPr>
                <w:sz w:val="20"/>
                <w:szCs w:val="20"/>
              </w:rPr>
            </w:pPr>
            <w:r>
              <w:rPr>
                <w:rFonts w:eastAsia="Times New Roman" w:cs="Arial"/>
                <w:color w:val="000000"/>
                <w:sz w:val="20"/>
                <w:szCs w:val="20"/>
                <w:lang w:eastAsia="en-GB"/>
              </w:rPr>
              <w:t>-</w:t>
            </w:r>
            <w:r w:rsidR="005130D5" w:rsidRPr="000D1876">
              <w:rPr>
                <w:rFonts w:eastAsia="Times New Roman" w:cs="Arial"/>
                <w:color w:val="000000"/>
                <w:sz w:val="20"/>
                <w:szCs w:val="20"/>
                <w:lang w:eastAsia="en-GB"/>
              </w:rPr>
              <w:t>100</w:t>
            </w:r>
          </w:p>
        </w:tc>
      </w:tr>
      <w:tr w:rsidR="005130D5" w14:paraId="1F1CEDBE" w14:textId="77777777" w:rsidTr="00A2355B">
        <w:tc>
          <w:tcPr>
            <w:tcW w:w="981" w:type="dxa"/>
          </w:tcPr>
          <w:p w14:paraId="6A60CFD4" w14:textId="2E24E181" w:rsidR="005130D5" w:rsidRPr="000D1876" w:rsidRDefault="005130D5" w:rsidP="005130D5">
            <w:pPr>
              <w:numPr>
                <w:ilvl w:val="0"/>
                <w:numId w:val="0"/>
              </w:numPr>
              <w:rPr>
                <w:sz w:val="20"/>
                <w:szCs w:val="20"/>
              </w:rPr>
            </w:pPr>
            <w:r w:rsidRPr="000D1876">
              <w:rPr>
                <w:rFonts w:eastAsia="Times New Roman" w:cs="Arial"/>
                <w:sz w:val="20"/>
                <w:szCs w:val="20"/>
                <w:lang w:eastAsia="en-GB"/>
              </w:rPr>
              <w:t>0134ba</w:t>
            </w:r>
          </w:p>
        </w:tc>
        <w:tc>
          <w:tcPr>
            <w:tcW w:w="3962" w:type="dxa"/>
          </w:tcPr>
          <w:p w14:paraId="1F11ECAE" w14:textId="4935578A" w:rsidR="005130D5" w:rsidRPr="000D1876" w:rsidRDefault="005130D5" w:rsidP="005130D5">
            <w:pPr>
              <w:numPr>
                <w:ilvl w:val="0"/>
                <w:numId w:val="0"/>
              </w:numPr>
              <w:rPr>
                <w:sz w:val="20"/>
                <w:szCs w:val="20"/>
              </w:rPr>
            </w:pPr>
            <w:r w:rsidRPr="000D1876">
              <w:rPr>
                <w:rFonts w:eastAsia="Times New Roman" w:cs="Arial"/>
                <w:sz w:val="20"/>
                <w:szCs w:val="20"/>
                <w:lang w:eastAsia="en-GB"/>
              </w:rPr>
              <w:t>Land At Wyck Beck Road And Fishpool Hill</w:t>
            </w:r>
          </w:p>
        </w:tc>
        <w:tc>
          <w:tcPr>
            <w:tcW w:w="1407" w:type="dxa"/>
            <w:vAlign w:val="center"/>
          </w:tcPr>
          <w:p w14:paraId="0DB1A1EF" w14:textId="1BE0A235" w:rsidR="005130D5" w:rsidRPr="000D1876" w:rsidRDefault="005130D5" w:rsidP="005130D5">
            <w:pPr>
              <w:numPr>
                <w:ilvl w:val="0"/>
                <w:numId w:val="0"/>
              </w:numPr>
              <w:jc w:val="center"/>
              <w:rPr>
                <w:sz w:val="20"/>
                <w:szCs w:val="20"/>
              </w:rPr>
            </w:pPr>
            <w:r w:rsidRPr="000D1876">
              <w:rPr>
                <w:rFonts w:eastAsia="Times New Roman" w:cs="Arial"/>
                <w:color w:val="000000"/>
                <w:sz w:val="20"/>
                <w:szCs w:val="20"/>
                <w:lang w:eastAsia="en-GB"/>
              </w:rPr>
              <w:t>235</w:t>
            </w:r>
          </w:p>
        </w:tc>
        <w:tc>
          <w:tcPr>
            <w:tcW w:w="1478" w:type="dxa"/>
            <w:vAlign w:val="center"/>
          </w:tcPr>
          <w:p w14:paraId="729E15AD" w14:textId="13BB9E81" w:rsidR="005130D5" w:rsidRPr="000D1876" w:rsidRDefault="005130D5" w:rsidP="005130D5">
            <w:pPr>
              <w:numPr>
                <w:ilvl w:val="0"/>
                <w:numId w:val="0"/>
              </w:numPr>
              <w:jc w:val="center"/>
              <w:rPr>
                <w:sz w:val="20"/>
                <w:szCs w:val="20"/>
              </w:rPr>
            </w:pPr>
            <w:r w:rsidRPr="000D1876">
              <w:rPr>
                <w:rFonts w:eastAsia="Times New Roman" w:cs="Arial"/>
                <w:color w:val="000000"/>
                <w:sz w:val="20"/>
                <w:szCs w:val="20"/>
                <w:lang w:eastAsia="en-GB"/>
              </w:rPr>
              <w:t>174</w:t>
            </w:r>
          </w:p>
        </w:tc>
        <w:tc>
          <w:tcPr>
            <w:tcW w:w="1386" w:type="dxa"/>
            <w:vAlign w:val="center"/>
          </w:tcPr>
          <w:p w14:paraId="35B29578" w14:textId="356FD350" w:rsidR="005130D5" w:rsidRPr="000D1876" w:rsidRDefault="00CC428B" w:rsidP="005130D5">
            <w:pPr>
              <w:numPr>
                <w:ilvl w:val="0"/>
                <w:numId w:val="0"/>
              </w:numPr>
              <w:jc w:val="center"/>
              <w:rPr>
                <w:sz w:val="20"/>
                <w:szCs w:val="20"/>
              </w:rPr>
            </w:pPr>
            <w:r>
              <w:rPr>
                <w:rFonts w:eastAsia="Times New Roman" w:cs="Arial"/>
                <w:color w:val="000000"/>
                <w:sz w:val="20"/>
                <w:szCs w:val="20"/>
                <w:lang w:eastAsia="en-GB"/>
              </w:rPr>
              <w:t>-</w:t>
            </w:r>
            <w:r w:rsidR="005130D5" w:rsidRPr="000D1876">
              <w:rPr>
                <w:rFonts w:eastAsia="Times New Roman" w:cs="Arial"/>
                <w:color w:val="000000"/>
                <w:sz w:val="20"/>
                <w:szCs w:val="20"/>
                <w:lang w:eastAsia="en-GB"/>
              </w:rPr>
              <w:t>61</w:t>
            </w:r>
          </w:p>
        </w:tc>
      </w:tr>
      <w:tr w:rsidR="005130D5" w14:paraId="01C82A97" w14:textId="77777777" w:rsidTr="00A2355B">
        <w:tc>
          <w:tcPr>
            <w:tcW w:w="981" w:type="dxa"/>
          </w:tcPr>
          <w:p w14:paraId="52C24A6E" w14:textId="1025D0EC" w:rsidR="005130D5" w:rsidRPr="000D1876" w:rsidRDefault="005130D5" w:rsidP="005130D5">
            <w:pPr>
              <w:numPr>
                <w:ilvl w:val="0"/>
                <w:numId w:val="0"/>
              </w:numPr>
              <w:rPr>
                <w:sz w:val="20"/>
                <w:szCs w:val="20"/>
              </w:rPr>
            </w:pPr>
            <w:r w:rsidRPr="000D1876">
              <w:rPr>
                <w:rFonts w:eastAsia="Times New Roman" w:cs="Arial"/>
                <w:sz w:val="20"/>
                <w:szCs w:val="20"/>
                <w:lang w:eastAsia="en-GB"/>
              </w:rPr>
              <w:t>0134c</w:t>
            </w:r>
          </w:p>
        </w:tc>
        <w:tc>
          <w:tcPr>
            <w:tcW w:w="3962" w:type="dxa"/>
          </w:tcPr>
          <w:p w14:paraId="02AE47B0" w14:textId="33E88EC1" w:rsidR="005130D5" w:rsidRPr="000D1876" w:rsidRDefault="005130D5" w:rsidP="005130D5">
            <w:pPr>
              <w:numPr>
                <w:ilvl w:val="0"/>
                <w:numId w:val="0"/>
              </w:numPr>
              <w:rPr>
                <w:sz w:val="20"/>
                <w:szCs w:val="20"/>
              </w:rPr>
            </w:pPr>
            <w:r w:rsidRPr="000D1876">
              <w:rPr>
                <w:rFonts w:eastAsia="Times New Roman" w:cs="Arial"/>
                <w:sz w:val="20"/>
                <w:szCs w:val="20"/>
                <w:lang w:eastAsia="en-GB"/>
              </w:rPr>
              <w:t>Cribbs/Patchway - Former Filton Airfield YTL (PT14/3867/O)</w:t>
            </w:r>
          </w:p>
        </w:tc>
        <w:tc>
          <w:tcPr>
            <w:tcW w:w="1407" w:type="dxa"/>
            <w:vAlign w:val="center"/>
          </w:tcPr>
          <w:p w14:paraId="7300E9BA" w14:textId="5A7A6C75" w:rsidR="005130D5" w:rsidRPr="000D1876" w:rsidRDefault="005130D5" w:rsidP="005130D5">
            <w:pPr>
              <w:numPr>
                <w:ilvl w:val="0"/>
                <w:numId w:val="0"/>
              </w:numPr>
              <w:jc w:val="center"/>
              <w:rPr>
                <w:sz w:val="20"/>
                <w:szCs w:val="20"/>
              </w:rPr>
            </w:pPr>
            <w:r w:rsidRPr="000D1876">
              <w:rPr>
                <w:rFonts w:eastAsia="Times New Roman" w:cs="Arial"/>
                <w:color w:val="000000"/>
                <w:sz w:val="20"/>
                <w:szCs w:val="20"/>
                <w:lang w:eastAsia="en-GB"/>
              </w:rPr>
              <w:t>300</w:t>
            </w:r>
          </w:p>
        </w:tc>
        <w:tc>
          <w:tcPr>
            <w:tcW w:w="1478" w:type="dxa"/>
            <w:vAlign w:val="center"/>
          </w:tcPr>
          <w:p w14:paraId="051366A8" w14:textId="259F9A00" w:rsidR="005130D5" w:rsidRPr="000D1876" w:rsidRDefault="005130D5" w:rsidP="005130D5">
            <w:pPr>
              <w:numPr>
                <w:ilvl w:val="0"/>
                <w:numId w:val="0"/>
              </w:numPr>
              <w:jc w:val="center"/>
              <w:rPr>
                <w:sz w:val="20"/>
                <w:szCs w:val="20"/>
              </w:rPr>
            </w:pPr>
            <w:r w:rsidRPr="000D1876">
              <w:rPr>
                <w:rFonts w:eastAsia="Times New Roman" w:cs="Arial"/>
                <w:color w:val="000000"/>
                <w:sz w:val="20"/>
                <w:szCs w:val="20"/>
                <w:lang w:eastAsia="en-GB"/>
              </w:rPr>
              <w:t>0</w:t>
            </w:r>
          </w:p>
        </w:tc>
        <w:tc>
          <w:tcPr>
            <w:tcW w:w="1386" w:type="dxa"/>
            <w:vAlign w:val="center"/>
          </w:tcPr>
          <w:p w14:paraId="5455FC98" w14:textId="032677F9" w:rsidR="005130D5" w:rsidRPr="000D1876" w:rsidRDefault="00CC428B" w:rsidP="005130D5">
            <w:pPr>
              <w:numPr>
                <w:ilvl w:val="0"/>
                <w:numId w:val="0"/>
              </w:numPr>
              <w:jc w:val="center"/>
              <w:rPr>
                <w:sz w:val="20"/>
                <w:szCs w:val="20"/>
              </w:rPr>
            </w:pPr>
            <w:r>
              <w:rPr>
                <w:rFonts w:eastAsia="Times New Roman" w:cs="Arial"/>
                <w:color w:val="000000"/>
                <w:sz w:val="20"/>
                <w:szCs w:val="20"/>
                <w:lang w:eastAsia="en-GB"/>
              </w:rPr>
              <w:t>-</w:t>
            </w:r>
            <w:r w:rsidR="005130D5" w:rsidRPr="000D1876">
              <w:rPr>
                <w:rFonts w:eastAsia="Times New Roman" w:cs="Arial"/>
                <w:color w:val="000000"/>
                <w:sz w:val="20"/>
                <w:szCs w:val="20"/>
                <w:lang w:eastAsia="en-GB"/>
              </w:rPr>
              <w:t>300</w:t>
            </w:r>
          </w:p>
        </w:tc>
      </w:tr>
      <w:tr w:rsidR="005130D5" w14:paraId="1425E8A9" w14:textId="77777777" w:rsidTr="00A2355B">
        <w:tc>
          <w:tcPr>
            <w:tcW w:w="981" w:type="dxa"/>
          </w:tcPr>
          <w:p w14:paraId="4EBA2687" w14:textId="15CC9500" w:rsidR="005130D5" w:rsidRPr="000D1876" w:rsidRDefault="005130D5" w:rsidP="005130D5">
            <w:pPr>
              <w:numPr>
                <w:ilvl w:val="0"/>
                <w:numId w:val="0"/>
              </w:numPr>
              <w:rPr>
                <w:sz w:val="20"/>
                <w:szCs w:val="20"/>
              </w:rPr>
            </w:pPr>
            <w:r w:rsidRPr="000D1876">
              <w:rPr>
                <w:rFonts w:eastAsia="Times New Roman" w:cs="Arial"/>
                <w:sz w:val="20"/>
                <w:szCs w:val="20"/>
                <w:lang w:eastAsia="en-GB"/>
              </w:rPr>
              <w:t>0134ca</w:t>
            </w:r>
          </w:p>
        </w:tc>
        <w:tc>
          <w:tcPr>
            <w:tcW w:w="3962" w:type="dxa"/>
          </w:tcPr>
          <w:p w14:paraId="5664D565" w14:textId="7BB9471E" w:rsidR="005130D5" w:rsidRPr="000D1876" w:rsidRDefault="005130D5" w:rsidP="005130D5">
            <w:pPr>
              <w:numPr>
                <w:ilvl w:val="0"/>
                <w:numId w:val="0"/>
              </w:numPr>
              <w:rPr>
                <w:sz w:val="20"/>
                <w:szCs w:val="20"/>
              </w:rPr>
            </w:pPr>
            <w:r w:rsidRPr="000D1876">
              <w:rPr>
                <w:rFonts w:eastAsia="Times New Roman" w:cs="Arial"/>
                <w:sz w:val="20"/>
                <w:szCs w:val="20"/>
                <w:lang w:eastAsia="en-GB"/>
              </w:rPr>
              <w:t>Parcels RO3 and RO4 - Former Filton Airfield YTL</w:t>
            </w:r>
          </w:p>
        </w:tc>
        <w:tc>
          <w:tcPr>
            <w:tcW w:w="1407" w:type="dxa"/>
            <w:vAlign w:val="center"/>
          </w:tcPr>
          <w:p w14:paraId="755B610D" w14:textId="17C2DA50" w:rsidR="005130D5" w:rsidRPr="000D1876" w:rsidRDefault="005130D5" w:rsidP="005130D5">
            <w:pPr>
              <w:numPr>
                <w:ilvl w:val="0"/>
                <w:numId w:val="0"/>
              </w:numPr>
              <w:jc w:val="center"/>
              <w:rPr>
                <w:sz w:val="20"/>
                <w:szCs w:val="20"/>
              </w:rPr>
            </w:pPr>
            <w:r w:rsidRPr="000D1876">
              <w:rPr>
                <w:rFonts w:eastAsia="Times New Roman" w:cs="Arial"/>
                <w:color w:val="000000"/>
                <w:sz w:val="20"/>
                <w:szCs w:val="20"/>
                <w:lang w:eastAsia="en-GB"/>
              </w:rPr>
              <w:t>302</w:t>
            </w:r>
          </w:p>
        </w:tc>
        <w:tc>
          <w:tcPr>
            <w:tcW w:w="1478" w:type="dxa"/>
            <w:vAlign w:val="center"/>
          </w:tcPr>
          <w:p w14:paraId="4DA71600" w14:textId="293DE7A3" w:rsidR="005130D5" w:rsidRPr="000D1876" w:rsidRDefault="005130D5" w:rsidP="005130D5">
            <w:pPr>
              <w:numPr>
                <w:ilvl w:val="0"/>
                <w:numId w:val="0"/>
              </w:numPr>
              <w:jc w:val="center"/>
              <w:rPr>
                <w:sz w:val="20"/>
                <w:szCs w:val="20"/>
              </w:rPr>
            </w:pPr>
            <w:r w:rsidRPr="000D1876">
              <w:rPr>
                <w:rFonts w:eastAsia="Times New Roman" w:cs="Arial"/>
                <w:color w:val="000000"/>
                <w:sz w:val="20"/>
                <w:szCs w:val="20"/>
                <w:lang w:eastAsia="en-GB"/>
              </w:rPr>
              <w:t>292</w:t>
            </w:r>
          </w:p>
        </w:tc>
        <w:tc>
          <w:tcPr>
            <w:tcW w:w="1386" w:type="dxa"/>
            <w:vAlign w:val="center"/>
          </w:tcPr>
          <w:p w14:paraId="1E03D598" w14:textId="3DA87893" w:rsidR="005130D5" w:rsidRPr="000D1876" w:rsidRDefault="00CC428B" w:rsidP="005130D5">
            <w:pPr>
              <w:numPr>
                <w:ilvl w:val="0"/>
                <w:numId w:val="0"/>
              </w:numPr>
              <w:jc w:val="center"/>
              <w:rPr>
                <w:sz w:val="20"/>
                <w:szCs w:val="20"/>
              </w:rPr>
            </w:pPr>
            <w:r>
              <w:rPr>
                <w:rFonts w:eastAsia="Times New Roman" w:cs="Arial"/>
                <w:color w:val="000000"/>
                <w:sz w:val="20"/>
                <w:szCs w:val="20"/>
                <w:lang w:eastAsia="en-GB"/>
              </w:rPr>
              <w:t>-</w:t>
            </w:r>
            <w:r w:rsidR="005130D5" w:rsidRPr="000D1876">
              <w:rPr>
                <w:rFonts w:eastAsia="Times New Roman" w:cs="Arial"/>
                <w:color w:val="000000"/>
                <w:sz w:val="20"/>
                <w:szCs w:val="20"/>
                <w:lang w:eastAsia="en-GB"/>
              </w:rPr>
              <w:t>10</w:t>
            </w:r>
          </w:p>
        </w:tc>
      </w:tr>
      <w:tr w:rsidR="005130D5" w14:paraId="4A08BDD6" w14:textId="77777777" w:rsidTr="00A2355B">
        <w:tc>
          <w:tcPr>
            <w:tcW w:w="981" w:type="dxa"/>
          </w:tcPr>
          <w:p w14:paraId="0E85F75A" w14:textId="6D7FFB28" w:rsidR="005130D5" w:rsidRPr="000D1876" w:rsidRDefault="005130D5" w:rsidP="005130D5">
            <w:pPr>
              <w:numPr>
                <w:ilvl w:val="0"/>
                <w:numId w:val="0"/>
              </w:numPr>
              <w:rPr>
                <w:sz w:val="20"/>
                <w:szCs w:val="20"/>
              </w:rPr>
            </w:pPr>
            <w:r w:rsidRPr="000D1876">
              <w:rPr>
                <w:rFonts w:eastAsia="Times New Roman" w:cs="Arial"/>
                <w:color w:val="000000"/>
                <w:sz w:val="20"/>
                <w:szCs w:val="20"/>
                <w:lang w:eastAsia="en-GB"/>
              </w:rPr>
              <w:t>0135a</w:t>
            </w:r>
          </w:p>
        </w:tc>
        <w:tc>
          <w:tcPr>
            <w:tcW w:w="3962" w:type="dxa"/>
          </w:tcPr>
          <w:p w14:paraId="446EFCB4" w14:textId="098739D7" w:rsidR="005130D5" w:rsidRPr="000D1876" w:rsidRDefault="005130D5" w:rsidP="005130D5">
            <w:pPr>
              <w:numPr>
                <w:ilvl w:val="0"/>
                <w:numId w:val="0"/>
              </w:numPr>
              <w:rPr>
                <w:sz w:val="20"/>
                <w:szCs w:val="20"/>
              </w:rPr>
            </w:pPr>
            <w:r w:rsidRPr="000D1876">
              <w:rPr>
                <w:rFonts w:eastAsia="Times New Roman" w:cs="Arial"/>
                <w:sz w:val="20"/>
                <w:szCs w:val="20"/>
                <w:lang w:eastAsia="en-GB"/>
              </w:rPr>
              <w:t>New Neighbourhood – East of Harry Stoke – Crest (South of railway)</w:t>
            </w:r>
          </w:p>
        </w:tc>
        <w:tc>
          <w:tcPr>
            <w:tcW w:w="1407" w:type="dxa"/>
            <w:vAlign w:val="center"/>
          </w:tcPr>
          <w:p w14:paraId="70E16A64" w14:textId="7FC5DA92" w:rsidR="005130D5" w:rsidRPr="000D1876" w:rsidRDefault="005130D5" w:rsidP="005130D5">
            <w:pPr>
              <w:numPr>
                <w:ilvl w:val="0"/>
                <w:numId w:val="0"/>
              </w:numPr>
              <w:jc w:val="center"/>
              <w:rPr>
                <w:sz w:val="20"/>
                <w:szCs w:val="20"/>
              </w:rPr>
            </w:pPr>
            <w:r w:rsidRPr="000D1876">
              <w:rPr>
                <w:rFonts w:eastAsia="Times New Roman" w:cs="Arial"/>
                <w:color w:val="000000"/>
                <w:sz w:val="20"/>
                <w:szCs w:val="20"/>
                <w:lang w:eastAsia="en-GB"/>
              </w:rPr>
              <w:t>55</w:t>
            </w:r>
          </w:p>
        </w:tc>
        <w:tc>
          <w:tcPr>
            <w:tcW w:w="1478" w:type="dxa"/>
            <w:vAlign w:val="center"/>
          </w:tcPr>
          <w:p w14:paraId="12BB78D7" w14:textId="645F1497" w:rsidR="005130D5" w:rsidRPr="000D1876" w:rsidRDefault="005130D5" w:rsidP="005130D5">
            <w:pPr>
              <w:numPr>
                <w:ilvl w:val="0"/>
                <w:numId w:val="0"/>
              </w:numPr>
              <w:jc w:val="center"/>
              <w:rPr>
                <w:sz w:val="20"/>
                <w:szCs w:val="20"/>
              </w:rPr>
            </w:pPr>
            <w:r w:rsidRPr="000D1876">
              <w:rPr>
                <w:rFonts w:eastAsia="Times New Roman" w:cs="Arial"/>
                <w:color w:val="000000"/>
                <w:sz w:val="20"/>
                <w:szCs w:val="20"/>
                <w:lang w:eastAsia="en-GB"/>
              </w:rPr>
              <w:t>0</w:t>
            </w:r>
          </w:p>
        </w:tc>
        <w:tc>
          <w:tcPr>
            <w:tcW w:w="1386" w:type="dxa"/>
            <w:vAlign w:val="center"/>
          </w:tcPr>
          <w:p w14:paraId="3D1782FB" w14:textId="1145CBCF" w:rsidR="005130D5" w:rsidRPr="000D1876" w:rsidRDefault="00CC428B" w:rsidP="005130D5">
            <w:pPr>
              <w:numPr>
                <w:ilvl w:val="0"/>
                <w:numId w:val="0"/>
              </w:numPr>
              <w:jc w:val="center"/>
              <w:rPr>
                <w:sz w:val="20"/>
                <w:szCs w:val="20"/>
              </w:rPr>
            </w:pPr>
            <w:r>
              <w:rPr>
                <w:rFonts w:eastAsia="Times New Roman" w:cs="Arial"/>
                <w:color w:val="000000"/>
                <w:sz w:val="20"/>
                <w:szCs w:val="20"/>
                <w:lang w:eastAsia="en-GB"/>
              </w:rPr>
              <w:t>-</w:t>
            </w:r>
            <w:r w:rsidR="005130D5" w:rsidRPr="000D1876">
              <w:rPr>
                <w:rFonts w:eastAsia="Times New Roman" w:cs="Arial"/>
                <w:color w:val="000000"/>
                <w:sz w:val="20"/>
                <w:szCs w:val="20"/>
                <w:lang w:eastAsia="en-GB"/>
              </w:rPr>
              <w:t>55</w:t>
            </w:r>
          </w:p>
        </w:tc>
      </w:tr>
      <w:tr w:rsidR="005130D5" w:rsidRPr="00A31BAE" w14:paraId="4FC51E4E" w14:textId="77777777" w:rsidTr="00A2355B">
        <w:tc>
          <w:tcPr>
            <w:tcW w:w="981" w:type="dxa"/>
          </w:tcPr>
          <w:p w14:paraId="62287E3F" w14:textId="7E09F18E" w:rsidR="005130D5" w:rsidRPr="00A2355B" w:rsidRDefault="005130D5" w:rsidP="005130D5">
            <w:pPr>
              <w:numPr>
                <w:ilvl w:val="0"/>
                <w:numId w:val="0"/>
              </w:numPr>
              <w:rPr>
                <w:sz w:val="20"/>
                <w:szCs w:val="20"/>
              </w:rPr>
            </w:pPr>
            <w:r w:rsidRPr="00A2355B">
              <w:rPr>
                <w:sz w:val="20"/>
                <w:szCs w:val="20"/>
              </w:rPr>
              <w:t>0256</w:t>
            </w:r>
          </w:p>
        </w:tc>
        <w:tc>
          <w:tcPr>
            <w:tcW w:w="3962" w:type="dxa"/>
          </w:tcPr>
          <w:p w14:paraId="46801A04" w14:textId="7DD65771" w:rsidR="005130D5" w:rsidRPr="00A2355B" w:rsidRDefault="005130D5" w:rsidP="005130D5">
            <w:pPr>
              <w:numPr>
                <w:ilvl w:val="0"/>
                <w:numId w:val="0"/>
              </w:numPr>
              <w:rPr>
                <w:sz w:val="20"/>
                <w:szCs w:val="20"/>
              </w:rPr>
            </w:pPr>
            <w:r w:rsidRPr="00A2355B">
              <w:rPr>
                <w:sz w:val="20"/>
                <w:szCs w:val="20"/>
              </w:rPr>
              <w:t xml:space="preserve">The </w:t>
            </w:r>
            <w:proofErr w:type="spellStart"/>
            <w:r w:rsidRPr="00A2355B">
              <w:rPr>
                <w:sz w:val="20"/>
                <w:szCs w:val="20"/>
              </w:rPr>
              <w:t>Hoodlands</w:t>
            </w:r>
            <w:proofErr w:type="spellEnd"/>
            <w:r w:rsidRPr="00A2355B">
              <w:rPr>
                <w:sz w:val="20"/>
                <w:szCs w:val="20"/>
              </w:rPr>
              <w:t xml:space="preserve">, </w:t>
            </w:r>
            <w:proofErr w:type="spellStart"/>
            <w:r w:rsidRPr="00A2355B">
              <w:rPr>
                <w:sz w:val="20"/>
                <w:szCs w:val="20"/>
              </w:rPr>
              <w:t>Hambrook</w:t>
            </w:r>
            <w:proofErr w:type="spellEnd"/>
            <w:r w:rsidRPr="00A2355B">
              <w:rPr>
                <w:sz w:val="20"/>
                <w:szCs w:val="20"/>
              </w:rPr>
              <w:t xml:space="preserve"> Lane, </w:t>
            </w:r>
            <w:proofErr w:type="spellStart"/>
            <w:r w:rsidRPr="00A2355B">
              <w:rPr>
                <w:sz w:val="20"/>
                <w:szCs w:val="20"/>
              </w:rPr>
              <w:t>Hambrook</w:t>
            </w:r>
            <w:proofErr w:type="spellEnd"/>
            <w:r w:rsidRPr="00A2355B">
              <w:rPr>
                <w:sz w:val="20"/>
                <w:szCs w:val="20"/>
              </w:rPr>
              <w:t xml:space="preserve"> </w:t>
            </w:r>
          </w:p>
        </w:tc>
        <w:tc>
          <w:tcPr>
            <w:tcW w:w="1407" w:type="dxa"/>
            <w:vAlign w:val="center"/>
          </w:tcPr>
          <w:p w14:paraId="3B72F135" w14:textId="0451AA19" w:rsidR="005130D5" w:rsidRPr="00A2355B" w:rsidRDefault="001D65C2" w:rsidP="005130D5">
            <w:pPr>
              <w:numPr>
                <w:ilvl w:val="0"/>
                <w:numId w:val="0"/>
              </w:numPr>
              <w:jc w:val="center"/>
              <w:rPr>
                <w:sz w:val="20"/>
                <w:szCs w:val="20"/>
              </w:rPr>
            </w:pPr>
            <w:r w:rsidRPr="00A2355B">
              <w:rPr>
                <w:rFonts w:eastAsia="Times New Roman" w:cs="Arial"/>
                <w:color w:val="000000"/>
                <w:sz w:val="20"/>
                <w:szCs w:val="20"/>
                <w:lang w:eastAsia="en-GB"/>
              </w:rPr>
              <w:t>48</w:t>
            </w:r>
          </w:p>
        </w:tc>
        <w:tc>
          <w:tcPr>
            <w:tcW w:w="1478" w:type="dxa"/>
            <w:vAlign w:val="center"/>
          </w:tcPr>
          <w:p w14:paraId="439C4B5B" w14:textId="0FD01A7E" w:rsidR="005130D5" w:rsidRPr="00A2355B" w:rsidRDefault="005130D5" w:rsidP="005130D5">
            <w:pPr>
              <w:numPr>
                <w:ilvl w:val="0"/>
                <w:numId w:val="0"/>
              </w:numPr>
              <w:jc w:val="center"/>
              <w:rPr>
                <w:sz w:val="20"/>
                <w:szCs w:val="20"/>
              </w:rPr>
            </w:pPr>
            <w:r w:rsidRPr="00A2355B">
              <w:rPr>
                <w:rFonts w:eastAsia="Times New Roman" w:cs="Arial"/>
                <w:color w:val="000000"/>
                <w:sz w:val="20"/>
                <w:szCs w:val="20"/>
                <w:lang w:eastAsia="en-GB"/>
              </w:rPr>
              <w:t>0</w:t>
            </w:r>
          </w:p>
        </w:tc>
        <w:tc>
          <w:tcPr>
            <w:tcW w:w="1386" w:type="dxa"/>
            <w:vAlign w:val="center"/>
          </w:tcPr>
          <w:p w14:paraId="5E03B860" w14:textId="4BF72951" w:rsidR="005130D5" w:rsidRPr="00A2355B" w:rsidRDefault="00CC428B" w:rsidP="005130D5">
            <w:pPr>
              <w:numPr>
                <w:ilvl w:val="0"/>
                <w:numId w:val="0"/>
              </w:numPr>
              <w:jc w:val="center"/>
              <w:rPr>
                <w:sz w:val="20"/>
                <w:szCs w:val="20"/>
              </w:rPr>
            </w:pPr>
            <w:r w:rsidRPr="00A2355B">
              <w:rPr>
                <w:rFonts w:eastAsia="Times New Roman" w:cs="Arial"/>
                <w:color w:val="000000"/>
                <w:sz w:val="20"/>
                <w:szCs w:val="20"/>
                <w:lang w:eastAsia="en-GB"/>
              </w:rPr>
              <w:t>-</w:t>
            </w:r>
            <w:r w:rsidR="001D65C2" w:rsidRPr="00A2355B">
              <w:rPr>
                <w:rFonts w:eastAsia="Times New Roman" w:cs="Arial"/>
                <w:color w:val="000000"/>
                <w:sz w:val="20"/>
                <w:szCs w:val="20"/>
                <w:lang w:eastAsia="en-GB"/>
              </w:rPr>
              <w:t>48</w:t>
            </w:r>
          </w:p>
        </w:tc>
      </w:tr>
      <w:tr w:rsidR="005130D5" w:rsidRPr="00A31BAE" w14:paraId="2708253A" w14:textId="77777777" w:rsidTr="00A2355B">
        <w:tc>
          <w:tcPr>
            <w:tcW w:w="981" w:type="dxa"/>
          </w:tcPr>
          <w:p w14:paraId="3859D20A" w14:textId="5E84CA86" w:rsidR="005130D5" w:rsidRPr="00A31BAE" w:rsidRDefault="005130D5" w:rsidP="005130D5">
            <w:pPr>
              <w:numPr>
                <w:ilvl w:val="0"/>
                <w:numId w:val="0"/>
              </w:numPr>
              <w:rPr>
                <w:sz w:val="20"/>
                <w:szCs w:val="20"/>
              </w:rPr>
            </w:pPr>
            <w:r w:rsidRPr="00A31BAE">
              <w:rPr>
                <w:rFonts w:eastAsia="Times New Roman" w:cs="Arial"/>
                <w:sz w:val="20"/>
                <w:szCs w:val="20"/>
                <w:lang w:eastAsia="en-GB"/>
              </w:rPr>
              <w:t>0135b</w:t>
            </w:r>
          </w:p>
        </w:tc>
        <w:tc>
          <w:tcPr>
            <w:tcW w:w="3962" w:type="dxa"/>
          </w:tcPr>
          <w:p w14:paraId="68DB8F50" w14:textId="22E58CBA" w:rsidR="005130D5" w:rsidRPr="00A31BAE" w:rsidRDefault="005130D5" w:rsidP="005130D5">
            <w:pPr>
              <w:numPr>
                <w:ilvl w:val="0"/>
                <w:numId w:val="0"/>
              </w:numPr>
              <w:rPr>
                <w:sz w:val="20"/>
                <w:szCs w:val="20"/>
              </w:rPr>
            </w:pPr>
            <w:r w:rsidRPr="00A31BAE">
              <w:rPr>
                <w:rFonts w:eastAsia="Times New Roman" w:cs="Arial"/>
                <w:sz w:val="20"/>
                <w:szCs w:val="20"/>
                <w:lang w:eastAsia="en-GB"/>
              </w:rPr>
              <w:t>New Neighbourhood - East of Harry Stoke - Council Land [North of railway]</w:t>
            </w:r>
          </w:p>
        </w:tc>
        <w:tc>
          <w:tcPr>
            <w:tcW w:w="1407" w:type="dxa"/>
            <w:vAlign w:val="center"/>
          </w:tcPr>
          <w:p w14:paraId="4A15ED6B" w14:textId="197081EC" w:rsidR="005130D5" w:rsidRPr="00A31BAE" w:rsidRDefault="005130D5" w:rsidP="005130D5">
            <w:pPr>
              <w:numPr>
                <w:ilvl w:val="0"/>
                <w:numId w:val="0"/>
              </w:numPr>
              <w:jc w:val="center"/>
              <w:rPr>
                <w:sz w:val="20"/>
                <w:szCs w:val="20"/>
              </w:rPr>
            </w:pPr>
            <w:r w:rsidRPr="00A31BAE">
              <w:rPr>
                <w:rFonts w:eastAsia="Times New Roman" w:cs="Arial"/>
                <w:color w:val="000000"/>
                <w:sz w:val="20"/>
                <w:szCs w:val="20"/>
                <w:lang w:eastAsia="en-GB"/>
              </w:rPr>
              <w:t>100</w:t>
            </w:r>
          </w:p>
        </w:tc>
        <w:tc>
          <w:tcPr>
            <w:tcW w:w="1478" w:type="dxa"/>
            <w:vAlign w:val="center"/>
          </w:tcPr>
          <w:p w14:paraId="4641F74A" w14:textId="0C34E765" w:rsidR="005130D5" w:rsidRPr="00A31BAE" w:rsidRDefault="005130D5" w:rsidP="005130D5">
            <w:pPr>
              <w:numPr>
                <w:ilvl w:val="0"/>
                <w:numId w:val="0"/>
              </w:numPr>
              <w:jc w:val="center"/>
              <w:rPr>
                <w:sz w:val="20"/>
                <w:szCs w:val="20"/>
              </w:rPr>
            </w:pPr>
            <w:r w:rsidRPr="00A31BAE">
              <w:rPr>
                <w:rFonts w:eastAsia="Times New Roman" w:cs="Arial"/>
                <w:color w:val="000000"/>
                <w:sz w:val="20"/>
                <w:szCs w:val="20"/>
                <w:lang w:eastAsia="en-GB"/>
              </w:rPr>
              <w:t>0</w:t>
            </w:r>
          </w:p>
        </w:tc>
        <w:tc>
          <w:tcPr>
            <w:tcW w:w="1386" w:type="dxa"/>
            <w:vAlign w:val="center"/>
          </w:tcPr>
          <w:p w14:paraId="6BB8AE6B" w14:textId="4DA76E9F" w:rsidR="005130D5" w:rsidRPr="00A31BAE" w:rsidRDefault="00CC428B" w:rsidP="005130D5">
            <w:pPr>
              <w:numPr>
                <w:ilvl w:val="0"/>
                <w:numId w:val="0"/>
              </w:numPr>
              <w:jc w:val="center"/>
              <w:rPr>
                <w:sz w:val="20"/>
                <w:szCs w:val="20"/>
              </w:rPr>
            </w:pPr>
            <w:r w:rsidRPr="00A31BAE">
              <w:rPr>
                <w:rFonts w:eastAsia="Times New Roman" w:cs="Arial"/>
                <w:color w:val="000000"/>
                <w:sz w:val="20"/>
                <w:szCs w:val="20"/>
                <w:lang w:eastAsia="en-GB"/>
              </w:rPr>
              <w:t>-</w:t>
            </w:r>
            <w:r w:rsidR="005130D5" w:rsidRPr="00A31BAE">
              <w:rPr>
                <w:rFonts w:eastAsia="Times New Roman" w:cs="Arial"/>
                <w:color w:val="000000"/>
                <w:sz w:val="20"/>
                <w:szCs w:val="20"/>
                <w:lang w:eastAsia="en-GB"/>
              </w:rPr>
              <w:t>100</w:t>
            </w:r>
          </w:p>
        </w:tc>
      </w:tr>
      <w:tr w:rsidR="005130D5" w:rsidRPr="00A31BAE" w14:paraId="44E03A7A" w14:textId="77777777" w:rsidTr="00A2355B">
        <w:tc>
          <w:tcPr>
            <w:tcW w:w="981" w:type="dxa"/>
          </w:tcPr>
          <w:p w14:paraId="1F19069D" w14:textId="68371B8C" w:rsidR="005130D5" w:rsidRPr="00A31BAE" w:rsidRDefault="005130D5" w:rsidP="005130D5">
            <w:pPr>
              <w:numPr>
                <w:ilvl w:val="0"/>
                <w:numId w:val="0"/>
              </w:numPr>
              <w:rPr>
                <w:sz w:val="20"/>
                <w:szCs w:val="20"/>
              </w:rPr>
            </w:pPr>
            <w:r w:rsidRPr="00A31BAE">
              <w:rPr>
                <w:rFonts w:eastAsia="Times New Roman" w:cs="Arial"/>
                <w:sz w:val="20"/>
                <w:szCs w:val="20"/>
                <w:lang w:eastAsia="en-GB"/>
              </w:rPr>
              <w:t>0135d</w:t>
            </w:r>
          </w:p>
        </w:tc>
        <w:tc>
          <w:tcPr>
            <w:tcW w:w="3962" w:type="dxa"/>
          </w:tcPr>
          <w:p w14:paraId="1E1F6DC2" w14:textId="45150D90" w:rsidR="005130D5" w:rsidRPr="00A31BAE" w:rsidRDefault="005130D5" w:rsidP="005130D5">
            <w:pPr>
              <w:numPr>
                <w:ilvl w:val="0"/>
                <w:numId w:val="0"/>
              </w:numPr>
              <w:rPr>
                <w:sz w:val="20"/>
                <w:szCs w:val="20"/>
              </w:rPr>
            </w:pPr>
            <w:r w:rsidRPr="00A31BAE">
              <w:rPr>
                <w:rFonts w:eastAsia="Times New Roman" w:cs="Arial"/>
                <w:sz w:val="20"/>
                <w:szCs w:val="20"/>
                <w:lang w:eastAsia="en-GB"/>
              </w:rPr>
              <w:t>New Neighbourhood - East of Harry Stoke [Land off Old Gloucester Road, Hambrook]</w:t>
            </w:r>
          </w:p>
        </w:tc>
        <w:tc>
          <w:tcPr>
            <w:tcW w:w="1407" w:type="dxa"/>
            <w:vAlign w:val="center"/>
          </w:tcPr>
          <w:p w14:paraId="36C27236" w14:textId="645BBE8B" w:rsidR="005130D5" w:rsidRPr="00A31BAE" w:rsidRDefault="005130D5" w:rsidP="005130D5">
            <w:pPr>
              <w:numPr>
                <w:ilvl w:val="0"/>
                <w:numId w:val="0"/>
              </w:numPr>
              <w:jc w:val="center"/>
              <w:rPr>
                <w:sz w:val="20"/>
                <w:szCs w:val="20"/>
              </w:rPr>
            </w:pPr>
            <w:r w:rsidRPr="00A31BAE">
              <w:rPr>
                <w:rFonts w:eastAsia="Times New Roman" w:cs="Arial"/>
                <w:color w:val="000000"/>
                <w:sz w:val="20"/>
                <w:szCs w:val="20"/>
                <w:lang w:eastAsia="en-GB"/>
              </w:rPr>
              <w:t>53</w:t>
            </w:r>
          </w:p>
        </w:tc>
        <w:tc>
          <w:tcPr>
            <w:tcW w:w="1478" w:type="dxa"/>
            <w:vAlign w:val="center"/>
          </w:tcPr>
          <w:p w14:paraId="5CA44713" w14:textId="2EA9BFE0" w:rsidR="005130D5" w:rsidRPr="00A31BAE" w:rsidRDefault="005130D5" w:rsidP="005130D5">
            <w:pPr>
              <w:numPr>
                <w:ilvl w:val="0"/>
                <w:numId w:val="0"/>
              </w:numPr>
              <w:jc w:val="center"/>
              <w:rPr>
                <w:sz w:val="20"/>
                <w:szCs w:val="20"/>
              </w:rPr>
            </w:pPr>
            <w:r w:rsidRPr="00A31BAE">
              <w:rPr>
                <w:rFonts w:eastAsia="Times New Roman" w:cs="Arial"/>
                <w:color w:val="000000"/>
                <w:sz w:val="20"/>
                <w:szCs w:val="20"/>
                <w:lang w:eastAsia="en-GB"/>
              </w:rPr>
              <w:t>0</w:t>
            </w:r>
          </w:p>
        </w:tc>
        <w:tc>
          <w:tcPr>
            <w:tcW w:w="1386" w:type="dxa"/>
            <w:vAlign w:val="center"/>
          </w:tcPr>
          <w:p w14:paraId="25478C5B" w14:textId="5050FA84" w:rsidR="005130D5" w:rsidRPr="00A31BAE" w:rsidRDefault="00CC428B" w:rsidP="005130D5">
            <w:pPr>
              <w:numPr>
                <w:ilvl w:val="0"/>
                <w:numId w:val="0"/>
              </w:numPr>
              <w:jc w:val="center"/>
              <w:rPr>
                <w:sz w:val="20"/>
                <w:szCs w:val="20"/>
              </w:rPr>
            </w:pPr>
            <w:r w:rsidRPr="00A31BAE">
              <w:rPr>
                <w:rFonts w:eastAsia="Times New Roman" w:cs="Arial"/>
                <w:color w:val="000000"/>
                <w:sz w:val="20"/>
                <w:szCs w:val="20"/>
                <w:lang w:eastAsia="en-GB"/>
              </w:rPr>
              <w:t>-</w:t>
            </w:r>
            <w:r w:rsidR="005130D5" w:rsidRPr="00A31BAE">
              <w:rPr>
                <w:rFonts w:eastAsia="Times New Roman" w:cs="Arial"/>
                <w:color w:val="000000"/>
                <w:sz w:val="20"/>
                <w:szCs w:val="20"/>
                <w:lang w:eastAsia="en-GB"/>
              </w:rPr>
              <w:t>53</w:t>
            </w:r>
          </w:p>
        </w:tc>
      </w:tr>
      <w:tr w:rsidR="005130D5" w:rsidRPr="00A31BAE" w14:paraId="2DBDB025" w14:textId="77777777" w:rsidTr="00A2355B">
        <w:tc>
          <w:tcPr>
            <w:tcW w:w="981" w:type="dxa"/>
          </w:tcPr>
          <w:p w14:paraId="3B2B43A1" w14:textId="2528AC78" w:rsidR="005130D5" w:rsidRPr="00A31BAE" w:rsidRDefault="005130D5" w:rsidP="005130D5">
            <w:pPr>
              <w:numPr>
                <w:ilvl w:val="0"/>
                <w:numId w:val="0"/>
              </w:numPr>
              <w:rPr>
                <w:sz w:val="20"/>
                <w:szCs w:val="20"/>
              </w:rPr>
            </w:pPr>
            <w:r w:rsidRPr="00A31BAE">
              <w:rPr>
                <w:rFonts w:eastAsia="Times New Roman" w:cs="Arial"/>
                <w:sz w:val="20"/>
                <w:szCs w:val="20"/>
                <w:lang w:eastAsia="en-GB"/>
              </w:rPr>
              <w:t>0135da</w:t>
            </w:r>
          </w:p>
        </w:tc>
        <w:tc>
          <w:tcPr>
            <w:tcW w:w="3962" w:type="dxa"/>
          </w:tcPr>
          <w:p w14:paraId="05CE403F" w14:textId="53B617F1" w:rsidR="005130D5" w:rsidRPr="00A31BAE" w:rsidRDefault="005130D5" w:rsidP="005130D5">
            <w:pPr>
              <w:numPr>
                <w:ilvl w:val="0"/>
                <w:numId w:val="0"/>
              </w:numPr>
              <w:rPr>
                <w:sz w:val="20"/>
                <w:szCs w:val="20"/>
              </w:rPr>
            </w:pPr>
            <w:r w:rsidRPr="00A31BAE">
              <w:rPr>
                <w:rFonts w:eastAsia="Times New Roman" w:cs="Arial"/>
                <w:sz w:val="20"/>
                <w:szCs w:val="20"/>
                <w:lang w:eastAsia="en-GB"/>
              </w:rPr>
              <w:t>New Neighbourhood - East of Harry Stoke [Residual Land]</w:t>
            </w:r>
          </w:p>
        </w:tc>
        <w:tc>
          <w:tcPr>
            <w:tcW w:w="1407" w:type="dxa"/>
            <w:vAlign w:val="center"/>
          </w:tcPr>
          <w:p w14:paraId="548372AC" w14:textId="53BC558F" w:rsidR="005130D5" w:rsidRPr="00A31BAE" w:rsidRDefault="005130D5" w:rsidP="005130D5">
            <w:pPr>
              <w:numPr>
                <w:ilvl w:val="0"/>
                <w:numId w:val="0"/>
              </w:numPr>
              <w:jc w:val="center"/>
              <w:rPr>
                <w:sz w:val="20"/>
                <w:szCs w:val="20"/>
              </w:rPr>
            </w:pPr>
            <w:r w:rsidRPr="00A31BAE">
              <w:rPr>
                <w:rFonts w:eastAsia="Times New Roman" w:cs="Arial"/>
                <w:color w:val="000000"/>
                <w:sz w:val="20"/>
                <w:szCs w:val="20"/>
                <w:lang w:eastAsia="en-GB"/>
              </w:rPr>
              <w:t>100</w:t>
            </w:r>
          </w:p>
        </w:tc>
        <w:tc>
          <w:tcPr>
            <w:tcW w:w="1478" w:type="dxa"/>
            <w:vAlign w:val="center"/>
          </w:tcPr>
          <w:p w14:paraId="51D31CC1" w14:textId="7B2B3081" w:rsidR="005130D5" w:rsidRPr="00A31BAE" w:rsidRDefault="005130D5" w:rsidP="005130D5">
            <w:pPr>
              <w:numPr>
                <w:ilvl w:val="0"/>
                <w:numId w:val="0"/>
              </w:numPr>
              <w:jc w:val="center"/>
              <w:rPr>
                <w:sz w:val="20"/>
                <w:szCs w:val="20"/>
              </w:rPr>
            </w:pPr>
            <w:r w:rsidRPr="00A31BAE">
              <w:rPr>
                <w:rFonts w:eastAsia="Times New Roman" w:cs="Arial"/>
                <w:color w:val="000000"/>
                <w:sz w:val="20"/>
                <w:szCs w:val="20"/>
                <w:lang w:eastAsia="en-GB"/>
              </w:rPr>
              <w:t>0</w:t>
            </w:r>
          </w:p>
        </w:tc>
        <w:tc>
          <w:tcPr>
            <w:tcW w:w="1386" w:type="dxa"/>
            <w:vAlign w:val="center"/>
          </w:tcPr>
          <w:p w14:paraId="2B030403" w14:textId="180343E9" w:rsidR="005130D5" w:rsidRPr="00A31BAE" w:rsidRDefault="00CC428B" w:rsidP="005130D5">
            <w:pPr>
              <w:numPr>
                <w:ilvl w:val="0"/>
                <w:numId w:val="0"/>
              </w:numPr>
              <w:jc w:val="center"/>
              <w:rPr>
                <w:sz w:val="20"/>
                <w:szCs w:val="20"/>
              </w:rPr>
            </w:pPr>
            <w:r w:rsidRPr="00A31BAE">
              <w:rPr>
                <w:rFonts w:eastAsia="Times New Roman" w:cs="Arial"/>
                <w:color w:val="000000"/>
                <w:sz w:val="20"/>
                <w:szCs w:val="20"/>
                <w:lang w:eastAsia="en-GB"/>
              </w:rPr>
              <w:t>-</w:t>
            </w:r>
            <w:r w:rsidR="005130D5" w:rsidRPr="00A31BAE">
              <w:rPr>
                <w:rFonts w:eastAsia="Times New Roman" w:cs="Arial"/>
                <w:color w:val="000000"/>
                <w:sz w:val="20"/>
                <w:szCs w:val="20"/>
                <w:lang w:eastAsia="en-GB"/>
              </w:rPr>
              <w:t>100</w:t>
            </w:r>
          </w:p>
        </w:tc>
      </w:tr>
      <w:tr w:rsidR="005130D5" w:rsidRPr="00A31BAE" w14:paraId="33F31371" w14:textId="77777777" w:rsidTr="00A2355B">
        <w:tc>
          <w:tcPr>
            <w:tcW w:w="981" w:type="dxa"/>
          </w:tcPr>
          <w:p w14:paraId="0A32812D" w14:textId="2F30BDDE" w:rsidR="005130D5" w:rsidRPr="00A31BAE" w:rsidRDefault="005130D5" w:rsidP="005130D5">
            <w:pPr>
              <w:numPr>
                <w:ilvl w:val="0"/>
                <w:numId w:val="0"/>
              </w:numPr>
              <w:rPr>
                <w:sz w:val="20"/>
                <w:szCs w:val="20"/>
              </w:rPr>
            </w:pPr>
            <w:r w:rsidRPr="00A31BAE">
              <w:rPr>
                <w:sz w:val="20"/>
                <w:szCs w:val="20"/>
              </w:rPr>
              <w:t>0133 (v</w:t>
            </w:r>
            <w:r w:rsidR="00003461" w:rsidRPr="00A31BAE">
              <w:rPr>
                <w:sz w:val="20"/>
                <w:szCs w:val="20"/>
              </w:rPr>
              <w:t>arious</w:t>
            </w:r>
            <w:r w:rsidRPr="00A31BAE">
              <w:rPr>
                <w:sz w:val="20"/>
                <w:szCs w:val="20"/>
              </w:rPr>
              <w:t>)</w:t>
            </w:r>
          </w:p>
          <w:p w14:paraId="3607F9E5" w14:textId="0F08C322" w:rsidR="005130D5" w:rsidRPr="00A31BAE" w:rsidRDefault="005130D5" w:rsidP="005130D5">
            <w:pPr>
              <w:numPr>
                <w:ilvl w:val="0"/>
                <w:numId w:val="0"/>
              </w:numPr>
              <w:rPr>
                <w:sz w:val="20"/>
                <w:szCs w:val="20"/>
              </w:rPr>
            </w:pPr>
          </w:p>
        </w:tc>
        <w:tc>
          <w:tcPr>
            <w:tcW w:w="3962" w:type="dxa"/>
          </w:tcPr>
          <w:p w14:paraId="6B0A89C7" w14:textId="15A48CB4" w:rsidR="005130D5" w:rsidRPr="00A31BAE" w:rsidRDefault="005130D5" w:rsidP="005130D5">
            <w:pPr>
              <w:numPr>
                <w:ilvl w:val="0"/>
                <w:numId w:val="0"/>
              </w:numPr>
              <w:rPr>
                <w:sz w:val="20"/>
                <w:szCs w:val="20"/>
              </w:rPr>
            </w:pPr>
            <w:r w:rsidRPr="00A31BAE">
              <w:rPr>
                <w:sz w:val="20"/>
                <w:szCs w:val="20"/>
              </w:rPr>
              <w:t>Land at North Yate</w:t>
            </w:r>
          </w:p>
        </w:tc>
        <w:tc>
          <w:tcPr>
            <w:tcW w:w="1407" w:type="dxa"/>
          </w:tcPr>
          <w:p w14:paraId="0E547675" w14:textId="11268D55" w:rsidR="005130D5" w:rsidRPr="00A31BAE" w:rsidRDefault="005130D5" w:rsidP="005130D5">
            <w:pPr>
              <w:numPr>
                <w:ilvl w:val="0"/>
                <w:numId w:val="0"/>
              </w:numPr>
              <w:jc w:val="center"/>
              <w:rPr>
                <w:sz w:val="20"/>
                <w:szCs w:val="20"/>
              </w:rPr>
            </w:pPr>
            <w:r w:rsidRPr="00A31BAE">
              <w:rPr>
                <w:sz w:val="20"/>
                <w:szCs w:val="20"/>
              </w:rPr>
              <w:t>1,487</w:t>
            </w:r>
          </w:p>
        </w:tc>
        <w:tc>
          <w:tcPr>
            <w:tcW w:w="1478" w:type="dxa"/>
          </w:tcPr>
          <w:p w14:paraId="59510DFD" w14:textId="7B3903BE" w:rsidR="005130D5" w:rsidRPr="00A31BAE" w:rsidRDefault="005130D5" w:rsidP="005130D5">
            <w:pPr>
              <w:numPr>
                <w:ilvl w:val="0"/>
                <w:numId w:val="0"/>
              </w:numPr>
              <w:jc w:val="center"/>
              <w:rPr>
                <w:sz w:val="20"/>
                <w:szCs w:val="20"/>
              </w:rPr>
            </w:pPr>
            <w:r w:rsidRPr="00A31BAE">
              <w:rPr>
                <w:sz w:val="20"/>
                <w:szCs w:val="20"/>
              </w:rPr>
              <w:t>955</w:t>
            </w:r>
          </w:p>
        </w:tc>
        <w:tc>
          <w:tcPr>
            <w:tcW w:w="1386" w:type="dxa"/>
          </w:tcPr>
          <w:p w14:paraId="1592988D" w14:textId="69FC883C" w:rsidR="005130D5" w:rsidRPr="00A31BAE" w:rsidRDefault="00CC428B" w:rsidP="005130D5">
            <w:pPr>
              <w:numPr>
                <w:ilvl w:val="0"/>
                <w:numId w:val="0"/>
              </w:numPr>
              <w:jc w:val="center"/>
              <w:rPr>
                <w:sz w:val="20"/>
                <w:szCs w:val="20"/>
              </w:rPr>
            </w:pPr>
            <w:r w:rsidRPr="00A31BAE">
              <w:rPr>
                <w:sz w:val="20"/>
                <w:szCs w:val="20"/>
              </w:rPr>
              <w:t>-</w:t>
            </w:r>
            <w:r w:rsidR="005130D5" w:rsidRPr="00A31BAE">
              <w:rPr>
                <w:sz w:val="20"/>
                <w:szCs w:val="20"/>
              </w:rPr>
              <w:t>532</w:t>
            </w:r>
          </w:p>
        </w:tc>
      </w:tr>
      <w:tr w:rsidR="005130D5" w:rsidRPr="00A31BAE" w14:paraId="133B26F4" w14:textId="77777777" w:rsidTr="00A2355B">
        <w:tc>
          <w:tcPr>
            <w:tcW w:w="981" w:type="dxa"/>
          </w:tcPr>
          <w:p w14:paraId="31F10B63" w14:textId="76604499" w:rsidR="005130D5" w:rsidRPr="00A31BAE" w:rsidRDefault="005130D5" w:rsidP="005130D5">
            <w:pPr>
              <w:numPr>
                <w:ilvl w:val="0"/>
                <w:numId w:val="0"/>
              </w:numPr>
              <w:rPr>
                <w:sz w:val="20"/>
                <w:szCs w:val="20"/>
              </w:rPr>
            </w:pPr>
            <w:r w:rsidRPr="00A31BAE">
              <w:rPr>
                <w:sz w:val="20"/>
                <w:szCs w:val="20"/>
              </w:rPr>
              <w:t>0021b</w:t>
            </w:r>
          </w:p>
        </w:tc>
        <w:tc>
          <w:tcPr>
            <w:tcW w:w="3962" w:type="dxa"/>
          </w:tcPr>
          <w:p w14:paraId="074E9CC0" w14:textId="72C315CC" w:rsidR="005130D5" w:rsidRPr="00A31BAE" w:rsidRDefault="005130D5" w:rsidP="005130D5">
            <w:pPr>
              <w:numPr>
                <w:ilvl w:val="0"/>
                <w:numId w:val="0"/>
              </w:numPr>
              <w:rPr>
                <w:sz w:val="20"/>
                <w:szCs w:val="20"/>
              </w:rPr>
            </w:pPr>
            <w:r w:rsidRPr="00A31BAE">
              <w:rPr>
                <w:sz w:val="20"/>
                <w:szCs w:val="20"/>
              </w:rPr>
              <w:t>Land at Harry Stoke, Stoke Gifford – Create &amp; Sovereign &amp; Linden Homes</w:t>
            </w:r>
          </w:p>
        </w:tc>
        <w:tc>
          <w:tcPr>
            <w:tcW w:w="1407" w:type="dxa"/>
          </w:tcPr>
          <w:p w14:paraId="6DE025AC" w14:textId="7C12C425" w:rsidR="005130D5" w:rsidRPr="00A31BAE" w:rsidRDefault="005130D5" w:rsidP="005130D5">
            <w:pPr>
              <w:numPr>
                <w:ilvl w:val="0"/>
                <w:numId w:val="0"/>
              </w:numPr>
              <w:jc w:val="center"/>
              <w:rPr>
                <w:sz w:val="20"/>
                <w:szCs w:val="20"/>
              </w:rPr>
            </w:pPr>
            <w:r w:rsidRPr="00A31BAE">
              <w:rPr>
                <w:sz w:val="20"/>
                <w:szCs w:val="20"/>
              </w:rPr>
              <w:t>605</w:t>
            </w:r>
          </w:p>
        </w:tc>
        <w:tc>
          <w:tcPr>
            <w:tcW w:w="1478" w:type="dxa"/>
          </w:tcPr>
          <w:p w14:paraId="4B1232F7" w14:textId="423E1744" w:rsidR="005130D5" w:rsidRPr="00A31BAE" w:rsidRDefault="005130D5" w:rsidP="005130D5">
            <w:pPr>
              <w:numPr>
                <w:ilvl w:val="0"/>
                <w:numId w:val="0"/>
              </w:numPr>
              <w:jc w:val="center"/>
              <w:rPr>
                <w:sz w:val="20"/>
                <w:szCs w:val="20"/>
              </w:rPr>
            </w:pPr>
            <w:r w:rsidRPr="00A31BAE">
              <w:rPr>
                <w:sz w:val="20"/>
                <w:szCs w:val="20"/>
              </w:rPr>
              <w:t>372</w:t>
            </w:r>
          </w:p>
        </w:tc>
        <w:tc>
          <w:tcPr>
            <w:tcW w:w="1386" w:type="dxa"/>
          </w:tcPr>
          <w:p w14:paraId="143A14C3" w14:textId="47E6529F" w:rsidR="005130D5" w:rsidRPr="00A31BAE" w:rsidRDefault="00CC428B" w:rsidP="005130D5">
            <w:pPr>
              <w:numPr>
                <w:ilvl w:val="0"/>
                <w:numId w:val="0"/>
              </w:numPr>
              <w:jc w:val="center"/>
              <w:rPr>
                <w:sz w:val="20"/>
                <w:szCs w:val="20"/>
              </w:rPr>
            </w:pPr>
            <w:r w:rsidRPr="00A31BAE">
              <w:rPr>
                <w:sz w:val="20"/>
                <w:szCs w:val="20"/>
              </w:rPr>
              <w:t>-</w:t>
            </w:r>
            <w:r w:rsidR="005130D5" w:rsidRPr="00A31BAE">
              <w:rPr>
                <w:sz w:val="20"/>
                <w:szCs w:val="20"/>
              </w:rPr>
              <w:t>233</w:t>
            </w:r>
          </w:p>
        </w:tc>
      </w:tr>
      <w:tr w:rsidR="005130D5" w:rsidRPr="00A31BAE" w14:paraId="55B30BB8" w14:textId="77777777" w:rsidTr="00A2355B">
        <w:tc>
          <w:tcPr>
            <w:tcW w:w="981" w:type="dxa"/>
          </w:tcPr>
          <w:p w14:paraId="6D814BFC" w14:textId="43C6C0ED" w:rsidR="005130D5" w:rsidRPr="00A31BAE" w:rsidRDefault="005130D5" w:rsidP="005130D5">
            <w:pPr>
              <w:numPr>
                <w:ilvl w:val="0"/>
                <w:numId w:val="0"/>
              </w:numPr>
              <w:rPr>
                <w:sz w:val="20"/>
                <w:szCs w:val="20"/>
              </w:rPr>
            </w:pPr>
            <w:r w:rsidRPr="00A31BAE">
              <w:rPr>
                <w:sz w:val="20"/>
                <w:szCs w:val="20"/>
              </w:rPr>
              <w:t>0021c</w:t>
            </w:r>
          </w:p>
        </w:tc>
        <w:tc>
          <w:tcPr>
            <w:tcW w:w="3962" w:type="dxa"/>
          </w:tcPr>
          <w:p w14:paraId="144CE2AF" w14:textId="1AB27305" w:rsidR="005130D5" w:rsidRPr="00A31BAE" w:rsidRDefault="005130D5" w:rsidP="005130D5">
            <w:pPr>
              <w:numPr>
                <w:ilvl w:val="0"/>
                <w:numId w:val="0"/>
              </w:numPr>
              <w:rPr>
                <w:sz w:val="20"/>
                <w:szCs w:val="20"/>
              </w:rPr>
            </w:pPr>
            <w:r w:rsidRPr="00A31BAE">
              <w:rPr>
                <w:sz w:val="20"/>
                <w:szCs w:val="20"/>
              </w:rPr>
              <w:t>Land at Harry Stoke</w:t>
            </w:r>
          </w:p>
        </w:tc>
        <w:tc>
          <w:tcPr>
            <w:tcW w:w="1407" w:type="dxa"/>
          </w:tcPr>
          <w:p w14:paraId="64A108D9" w14:textId="04589378" w:rsidR="005130D5" w:rsidRPr="00A31BAE" w:rsidRDefault="005130D5" w:rsidP="005130D5">
            <w:pPr>
              <w:numPr>
                <w:ilvl w:val="0"/>
                <w:numId w:val="0"/>
              </w:numPr>
              <w:jc w:val="center"/>
              <w:rPr>
                <w:sz w:val="20"/>
                <w:szCs w:val="20"/>
              </w:rPr>
            </w:pPr>
            <w:r w:rsidRPr="00A31BAE">
              <w:rPr>
                <w:sz w:val="20"/>
                <w:szCs w:val="20"/>
              </w:rPr>
              <w:t>125</w:t>
            </w:r>
          </w:p>
        </w:tc>
        <w:tc>
          <w:tcPr>
            <w:tcW w:w="1478" w:type="dxa"/>
          </w:tcPr>
          <w:p w14:paraId="10DD4C4B" w14:textId="630F683D" w:rsidR="005130D5" w:rsidRPr="00A31BAE" w:rsidRDefault="005130D5" w:rsidP="005130D5">
            <w:pPr>
              <w:numPr>
                <w:ilvl w:val="0"/>
                <w:numId w:val="0"/>
              </w:numPr>
              <w:jc w:val="center"/>
              <w:rPr>
                <w:sz w:val="20"/>
                <w:szCs w:val="20"/>
              </w:rPr>
            </w:pPr>
            <w:r w:rsidRPr="00A31BAE">
              <w:rPr>
                <w:sz w:val="20"/>
                <w:szCs w:val="20"/>
              </w:rPr>
              <w:t>0</w:t>
            </w:r>
          </w:p>
        </w:tc>
        <w:tc>
          <w:tcPr>
            <w:tcW w:w="1386" w:type="dxa"/>
          </w:tcPr>
          <w:p w14:paraId="14C49C76" w14:textId="7D3DD376" w:rsidR="005130D5" w:rsidRPr="00A31BAE" w:rsidRDefault="00CC428B" w:rsidP="005130D5">
            <w:pPr>
              <w:numPr>
                <w:ilvl w:val="0"/>
                <w:numId w:val="0"/>
              </w:numPr>
              <w:jc w:val="center"/>
              <w:rPr>
                <w:sz w:val="20"/>
                <w:szCs w:val="20"/>
              </w:rPr>
            </w:pPr>
            <w:r w:rsidRPr="00A31BAE">
              <w:rPr>
                <w:sz w:val="20"/>
                <w:szCs w:val="20"/>
              </w:rPr>
              <w:t>-</w:t>
            </w:r>
            <w:r w:rsidR="005130D5" w:rsidRPr="00A31BAE">
              <w:rPr>
                <w:sz w:val="20"/>
                <w:szCs w:val="20"/>
              </w:rPr>
              <w:t>125</w:t>
            </w:r>
          </w:p>
        </w:tc>
      </w:tr>
      <w:tr w:rsidR="005130D5" w:rsidRPr="003F6832" w14:paraId="62E7F4D1" w14:textId="77777777" w:rsidTr="00A2355B">
        <w:tc>
          <w:tcPr>
            <w:tcW w:w="981" w:type="dxa"/>
          </w:tcPr>
          <w:p w14:paraId="7B43284E" w14:textId="72CEADCC" w:rsidR="005130D5" w:rsidRPr="00A2355B" w:rsidRDefault="005130D5" w:rsidP="005130D5">
            <w:pPr>
              <w:numPr>
                <w:ilvl w:val="0"/>
                <w:numId w:val="0"/>
              </w:numPr>
              <w:rPr>
                <w:sz w:val="20"/>
                <w:szCs w:val="20"/>
              </w:rPr>
            </w:pPr>
            <w:r w:rsidRPr="00A2355B">
              <w:rPr>
                <w:sz w:val="20"/>
                <w:szCs w:val="20"/>
              </w:rPr>
              <w:t>0226</w:t>
            </w:r>
          </w:p>
        </w:tc>
        <w:tc>
          <w:tcPr>
            <w:tcW w:w="3962" w:type="dxa"/>
          </w:tcPr>
          <w:p w14:paraId="5A6E44FA" w14:textId="3766CBD0" w:rsidR="005130D5" w:rsidRPr="00A2355B" w:rsidRDefault="005130D5" w:rsidP="005130D5">
            <w:pPr>
              <w:numPr>
                <w:ilvl w:val="0"/>
                <w:numId w:val="0"/>
              </w:numPr>
              <w:rPr>
                <w:sz w:val="20"/>
                <w:szCs w:val="20"/>
              </w:rPr>
            </w:pPr>
            <w:proofErr w:type="spellStart"/>
            <w:r w:rsidRPr="00A2355B">
              <w:rPr>
                <w:sz w:val="20"/>
                <w:szCs w:val="20"/>
              </w:rPr>
              <w:t>Watermore</w:t>
            </w:r>
            <w:proofErr w:type="spellEnd"/>
            <w:r w:rsidRPr="00A2355B">
              <w:rPr>
                <w:sz w:val="20"/>
                <w:szCs w:val="20"/>
              </w:rPr>
              <w:t xml:space="preserve"> Junior School</w:t>
            </w:r>
          </w:p>
        </w:tc>
        <w:tc>
          <w:tcPr>
            <w:tcW w:w="1407" w:type="dxa"/>
          </w:tcPr>
          <w:p w14:paraId="53590269" w14:textId="63F8F705" w:rsidR="005130D5" w:rsidRPr="00A2355B" w:rsidRDefault="005130D5" w:rsidP="005130D5">
            <w:pPr>
              <w:numPr>
                <w:ilvl w:val="0"/>
                <w:numId w:val="0"/>
              </w:numPr>
              <w:jc w:val="center"/>
              <w:rPr>
                <w:sz w:val="20"/>
                <w:szCs w:val="20"/>
              </w:rPr>
            </w:pPr>
            <w:r w:rsidRPr="00A2355B">
              <w:rPr>
                <w:sz w:val="20"/>
                <w:szCs w:val="20"/>
              </w:rPr>
              <w:t>2</w:t>
            </w:r>
            <w:r w:rsidR="001D65C2" w:rsidRPr="00A2355B">
              <w:rPr>
                <w:sz w:val="20"/>
                <w:szCs w:val="20"/>
              </w:rPr>
              <w:t>6</w:t>
            </w:r>
          </w:p>
        </w:tc>
        <w:tc>
          <w:tcPr>
            <w:tcW w:w="1478" w:type="dxa"/>
          </w:tcPr>
          <w:p w14:paraId="18BE5CF3" w14:textId="20B299E4" w:rsidR="005130D5" w:rsidRPr="00A2355B" w:rsidRDefault="005130D5" w:rsidP="005130D5">
            <w:pPr>
              <w:numPr>
                <w:ilvl w:val="0"/>
                <w:numId w:val="0"/>
              </w:numPr>
              <w:jc w:val="center"/>
              <w:rPr>
                <w:sz w:val="20"/>
                <w:szCs w:val="20"/>
              </w:rPr>
            </w:pPr>
            <w:r w:rsidRPr="00A2355B">
              <w:rPr>
                <w:sz w:val="20"/>
                <w:szCs w:val="20"/>
              </w:rPr>
              <w:t>5</w:t>
            </w:r>
          </w:p>
        </w:tc>
        <w:tc>
          <w:tcPr>
            <w:tcW w:w="1386" w:type="dxa"/>
          </w:tcPr>
          <w:p w14:paraId="5A0091D8" w14:textId="6129588D" w:rsidR="005130D5" w:rsidRPr="00A2355B" w:rsidRDefault="00CC428B" w:rsidP="005130D5">
            <w:pPr>
              <w:numPr>
                <w:ilvl w:val="0"/>
                <w:numId w:val="0"/>
              </w:numPr>
              <w:jc w:val="center"/>
              <w:rPr>
                <w:sz w:val="20"/>
                <w:szCs w:val="20"/>
              </w:rPr>
            </w:pPr>
            <w:r w:rsidRPr="00A2355B">
              <w:rPr>
                <w:sz w:val="20"/>
                <w:szCs w:val="20"/>
              </w:rPr>
              <w:t>-</w:t>
            </w:r>
            <w:r w:rsidR="005130D5" w:rsidRPr="00A2355B">
              <w:rPr>
                <w:sz w:val="20"/>
                <w:szCs w:val="20"/>
              </w:rPr>
              <w:t>2</w:t>
            </w:r>
            <w:r w:rsidR="001D65C2" w:rsidRPr="00A2355B">
              <w:rPr>
                <w:sz w:val="20"/>
                <w:szCs w:val="20"/>
              </w:rPr>
              <w:t>1</w:t>
            </w:r>
          </w:p>
        </w:tc>
      </w:tr>
      <w:tr w:rsidR="005130D5" w14:paraId="48D35CAD" w14:textId="77777777" w:rsidTr="00A2355B">
        <w:tc>
          <w:tcPr>
            <w:tcW w:w="981" w:type="dxa"/>
          </w:tcPr>
          <w:p w14:paraId="76A172F6" w14:textId="7093AB89" w:rsidR="005130D5" w:rsidRPr="000D1876" w:rsidRDefault="005130D5" w:rsidP="005130D5">
            <w:pPr>
              <w:numPr>
                <w:ilvl w:val="0"/>
                <w:numId w:val="0"/>
              </w:numPr>
              <w:rPr>
                <w:sz w:val="20"/>
                <w:szCs w:val="20"/>
              </w:rPr>
            </w:pPr>
            <w:r w:rsidRPr="000D1876">
              <w:rPr>
                <w:sz w:val="20"/>
                <w:szCs w:val="20"/>
              </w:rPr>
              <w:t>0234</w:t>
            </w:r>
          </w:p>
        </w:tc>
        <w:tc>
          <w:tcPr>
            <w:tcW w:w="3962" w:type="dxa"/>
          </w:tcPr>
          <w:p w14:paraId="2AC43A16" w14:textId="1407A6E3" w:rsidR="005130D5" w:rsidRPr="000D1876" w:rsidRDefault="005130D5" w:rsidP="005130D5">
            <w:pPr>
              <w:numPr>
                <w:ilvl w:val="0"/>
                <w:numId w:val="0"/>
              </w:numPr>
              <w:rPr>
                <w:sz w:val="20"/>
                <w:szCs w:val="20"/>
              </w:rPr>
            </w:pPr>
            <w:r w:rsidRPr="000D1876">
              <w:rPr>
                <w:sz w:val="20"/>
                <w:szCs w:val="20"/>
              </w:rPr>
              <w:t>Land east of Cedar Lodge</w:t>
            </w:r>
          </w:p>
        </w:tc>
        <w:tc>
          <w:tcPr>
            <w:tcW w:w="1407" w:type="dxa"/>
          </w:tcPr>
          <w:p w14:paraId="44F51511" w14:textId="28077081" w:rsidR="005130D5" w:rsidRPr="000D1876" w:rsidRDefault="005130D5" w:rsidP="005130D5">
            <w:pPr>
              <w:numPr>
                <w:ilvl w:val="0"/>
                <w:numId w:val="0"/>
              </w:numPr>
              <w:jc w:val="center"/>
              <w:rPr>
                <w:sz w:val="20"/>
                <w:szCs w:val="20"/>
              </w:rPr>
            </w:pPr>
            <w:r w:rsidRPr="000D1876">
              <w:rPr>
                <w:sz w:val="20"/>
                <w:szCs w:val="20"/>
              </w:rPr>
              <w:t>29</w:t>
            </w:r>
          </w:p>
        </w:tc>
        <w:tc>
          <w:tcPr>
            <w:tcW w:w="1478" w:type="dxa"/>
          </w:tcPr>
          <w:p w14:paraId="0935F410" w14:textId="4073C5C0" w:rsidR="005130D5" w:rsidRPr="000D1876" w:rsidRDefault="005130D5" w:rsidP="005130D5">
            <w:pPr>
              <w:numPr>
                <w:ilvl w:val="0"/>
                <w:numId w:val="0"/>
              </w:numPr>
              <w:jc w:val="center"/>
              <w:rPr>
                <w:sz w:val="20"/>
                <w:szCs w:val="20"/>
              </w:rPr>
            </w:pPr>
            <w:r w:rsidRPr="000D1876">
              <w:rPr>
                <w:sz w:val="20"/>
                <w:szCs w:val="20"/>
              </w:rPr>
              <w:t>0</w:t>
            </w:r>
          </w:p>
        </w:tc>
        <w:tc>
          <w:tcPr>
            <w:tcW w:w="1386" w:type="dxa"/>
          </w:tcPr>
          <w:p w14:paraId="75E0B6D7" w14:textId="51C20D8D" w:rsidR="005130D5" w:rsidRPr="000D1876" w:rsidRDefault="00CC428B" w:rsidP="005130D5">
            <w:pPr>
              <w:numPr>
                <w:ilvl w:val="0"/>
                <w:numId w:val="0"/>
              </w:numPr>
              <w:jc w:val="center"/>
              <w:rPr>
                <w:sz w:val="20"/>
                <w:szCs w:val="20"/>
              </w:rPr>
            </w:pPr>
            <w:r>
              <w:rPr>
                <w:sz w:val="20"/>
                <w:szCs w:val="20"/>
              </w:rPr>
              <w:t>-</w:t>
            </w:r>
            <w:r w:rsidR="005130D5" w:rsidRPr="000D1876">
              <w:rPr>
                <w:sz w:val="20"/>
                <w:szCs w:val="20"/>
              </w:rPr>
              <w:t>29</w:t>
            </w:r>
          </w:p>
        </w:tc>
      </w:tr>
      <w:tr w:rsidR="005130D5" w14:paraId="323CCFA1" w14:textId="77777777" w:rsidTr="00A2355B">
        <w:tc>
          <w:tcPr>
            <w:tcW w:w="981" w:type="dxa"/>
          </w:tcPr>
          <w:p w14:paraId="61B8F103" w14:textId="296C0653" w:rsidR="005130D5" w:rsidRPr="000D1876" w:rsidRDefault="005130D5" w:rsidP="005130D5">
            <w:pPr>
              <w:numPr>
                <w:ilvl w:val="0"/>
                <w:numId w:val="0"/>
              </w:numPr>
              <w:rPr>
                <w:sz w:val="20"/>
                <w:szCs w:val="20"/>
              </w:rPr>
            </w:pPr>
            <w:r w:rsidRPr="000D1876">
              <w:rPr>
                <w:sz w:val="20"/>
                <w:szCs w:val="20"/>
              </w:rPr>
              <w:t>0247a</w:t>
            </w:r>
          </w:p>
        </w:tc>
        <w:tc>
          <w:tcPr>
            <w:tcW w:w="3962" w:type="dxa"/>
          </w:tcPr>
          <w:p w14:paraId="0F02E027" w14:textId="2BD31DE2" w:rsidR="005130D5" w:rsidRPr="000D1876" w:rsidRDefault="005130D5" w:rsidP="005130D5">
            <w:pPr>
              <w:numPr>
                <w:ilvl w:val="0"/>
                <w:numId w:val="0"/>
              </w:numPr>
              <w:rPr>
                <w:sz w:val="20"/>
                <w:szCs w:val="20"/>
              </w:rPr>
            </w:pPr>
            <w:r w:rsidRPr="000D1876">
              <w:rPr>
                <w:sz w:val="20"/>
                <w:szCs w:val="20"/>
              </w:rPr>
              <w:t>Land at Crossways, Morton Way, Thornbury</w:t>
            </w:r>
          </w:p>
        </w:tc>
        <w:tc>
          <w:tcPr>
            <w:tcW w:w="1407" w:type="dxa"/>
          </w:tcPr>
          <w:p w14:paraId="7C5DE665" w14:textId="52758F9C" w:rsidR="005130D5" w:rsidRPr="000D1876" w:rsidRDefault="005130D5" w:rsidP="005130D5">
            <w:pPr>
              <w:numPr>
                <w:ilvl w:val="0"/>
                <w:numId w:val="0"/>
              </w:numPr>
              <w:jc w:val="center"/>
              <w:rPr>
                <w:sz w:val="20"/>
                <w:szCs w:val="20"/>
              </w:rPr>
            </w:pPr>
            <w:r w:rsidRPr="000D1876">
              <w:rPr>
                <w:sz w:val="20"/>
                <w:szCs w:val="20"/>
              </w:rPr>
              <w:t>69</w:t>
            </w:r>
          </w:p>
        </w:tc>
        <w:tc>
          <w:tcPr>
            <w:tcW w:w="1478" w:type="dxa"/>
          </w:tcPr>
          <w:p w14:paraId="395CB3AB" w14:textId="0313396E" w:rsidR="005130D5" w:rsidRPr="000D1876" w:rsidRDefault="005130D5" w:rsidP="005130D5">
            <w:pPr>
              <w:numPr>
                <w:ilvl w:val="0"/>
                <w:numId w:val="0"/>
              </w:numPr>
              <w:jc w:val="center"/>
              <w:rPr>
                <w:sz w:val="20"/>
                <w:szCs w:val="20"/>
              </w:rPr>
            </w:pPr>
            <w:r w:rsidRPr="000D1876">
              <w:rPr>
                <w:sz w:val="20"/>
                <w:szCs w:val="20"/>
              </w:rPr>
              <w:t>0</w:t>
            </w:r>
          </w:p>
        </w:tc>
        <w:tc>
          <w:tcPr>
            <w:tcW w:w="1386" w:type="dxa"/>
          </w:tcPr>
          <w:p w14:paraId="34656E14" w14:textId="67C6D40E" w:rsidR="005130D5" w:rsidRPr="000D1876" w:rsidRDefault="00CC428B" w:rsidP="005130D5">
            <w:pPr>
              <w:numPr>
                <w:ilvl w:val="0"/>
                <w:numId w:val="0"/>
              </w:numPr>
              <w:jc w:val="center"/>
              <w:rPr>
                <w:sz w:val="20"/>
                <w:szCs w:val="20"/>
              </w:rPr>
            </w:pPr>
            <w:r>
              <w:rPr>
                <w:sz w:val="20"/>
                <w:szCs w:val="20"/>
              </w:rPr>
              <w:t>-</w:t>
            </w:r>
            <w:r w:rsidR="005130D5" w:rsidRPr="000D1876">
              <w:rPr>
                <w:sz w:val="20"/>
                <w:szCs w:val="20"/>
              </w:rPr>
              <w:t>69</w:t>
            </w:r>
          </w:p>
        </w:tc>
      </w:tr>
      <w:tr w:rsidR="005130D5" w14:paraId="7BA06F9B" w14:textId="77777777" w:rsidTr="00A2355B">
        <w:tc>
          <w:tcPr>
            <w:tcW w:w="981" w:type="dxa"/>
          </w:tcPr>
          <w:p w14:paraId="2CACB749" w14:textId="7C5D1B06" w:rsidR="005130D5" w:rsidRPr="000D1876" w:rsidRDefault="005130D5" w:rsidP="005130D5">
            <w:pPr>
              <w:numPr>
                <w:ilvl w:val="0"/>
                <w:numId w:val="0"/>
              </w:numPr>
              <w:rPr>
                <w:sz w:val="20"/>
                <w:szCs w:val="20"/>
              </w:rPr>
            </w:pPr>
            <w:r w:rsidRPr="000D1876">
              <w:rPr>
                <w:sz w:val="20"/>
                <w:szCs w:val="20"/>
              </w:rPr>
              <w:t>0248</w:t>
            </w:r>
          </w:p>
        </w:tc>
        <w:tc>
          <w:tcPr>
            <w:tcW w:w="3962" w:type="dxa"/>
          </w:tcPr>
          <w:p w14:paraId="790025E3" w14:textId="73FAC174" w:rsidR="005130D5" w:rsidRPr="000D1876" w:rsidRDefault="005130D5" w:rsidP="005130D5">
            <w:pPr>
              <w:numPr>
                <w:ilvl w:val="0"/>
                <w:numId w:val="0"/>
              </w:numPr>
              <w:rPr>
                <w:sz w:val="20"/>
                <w:szCs w:val="20"/>
              </w:rPr>
            </w:pPr>
            <w:r w:rsidRPr="000D1876">
              <w:rPr>
                <w:sz w:val="20"/>
                <w:szCs w:val="20"/>
              </w:rPr>
              <w:t>Land west of Trinity Lane</w:t>
            </w:r>
          </w:p>
        </w:tc>
        <w:tc>
          <w:tcPr>
            <w:tcW w:w="1407" w:type="dxa"/>
          </w:tcPr>
          <w:p w14:paraId="15BA626A" w14:textId="25CC3334" w:rsidR="005130D5" w:rsidRPr="000D1876" w:rsidRDefault="005130D5" w:rsidP="005130D5">
            <w:pPr>
              <w:numPr>
                <w:ilvl w:val="0"/>
                <w:numId w:val="0"/>
              </w:numPr>
              <w:jc w:val="center"/>
              <w:rPr>
                <w:sz w:val="20"/>
                <w:szCs w:val="20"/>
              </w:rPr>
            </w:pPr>
            <w:r w:rsidRPr="000D1876">
              <w:rPr>
                <w:sz w:val="20"/>
                <w:szCs w:val="20"/>
              </w:rPr>
              <w:t>60</w:t>
            </w:r>
          </w:p>
        </w:tc>
        <w:tc>
          <w:tcPr>
            <w:tcW w:w="1478" w:type="dxa"/>
          </w:tcPr>
          <w:p w14:paraId="2A5E342E" w14:textId="25D50D29" w:rsidR="005130D5" w:rsidRPr="000D1876" w:rsidRDefault="005130D5" w:rsidP="005130D5">
            <w:pPr>
              <w:numPr>
                <w:ilvl w:val="0"/>
                <w:numId w:val="0"/>
              </w:numPr>
              <w:jc w:val="center"/>
              <w:rPr>
                <w:sz w:val="20"/>
                <w:szCs w:val="20"/>
              </w:rPr>
            </w:pPr>
            <w:r w:rsidRPr="000D1876">
              <w:rPr>
                <w:sz w:val="20"/>
                <w:szCs w:val="20"/>
              </w:rPr>
              <w:t>0</w:t>
            </w:r>
          </w:p>
        </w:tc>
        <w:tc>
          <w:tcPr>
            <w:tcW w:w="1386" w:type="dxa"/>
          </w:tcPr>
          <w:p w14:paraId="7B04A0F9" w14:textId="2EAAC150" w:rsidR="005130D5" w:rsidRPr="000D1876" w:rsidRDefault="00CC428B" w:rsidP="005130D5">
            <w:pPr>
              <w:numPr>
                <w:ilvl w:val="0"/>
                <w:numId w:val="0"/>
              </w:numPr>
              <w:jc w:val="center"/>
              <w:rPr>
                <w:sz w:val="20"/>
                <w:szCs w:val="20"/>
              </w:rPr>
            </w:pPr>
            <w:r>
              <w:rPr>
                <w:sz w:val="20"/>
                <w:szCs w:val="20"/>
              </w:rPr>
              <w:t>-</w:t>
            </w:r>
            <w:r w:rsidR="005130D5" w:rsidRPr="000D1876">
              <w:rPr>
                <w:sz w:val="20"/>
                <w:szCs w:val="20"/>
              </w:rPr>
              <w:t>60</w:t>
            </w:r>
          </w:p>
        </w:tc>
      </w:tr>
      <w:tr w:rsidR="005130D5" w14:paraId="426A6FF9" w14:textId="77777777" w:rsidTr="00A2355B">
        <w:tc>
          <w:tcPr>
            <w:tcW w:w="981" w:type="dxa"/>
          </w:tcPr>
          <w:p w14:paraId="00C5B1F7" w14:textId="1AF43074" w:rsidR="005130D5" w:rsidRPr="000D1876" w:rsidRDefault="005130D5" w:rsidP="005130D5">
            <w:pPr>
              <w:numPr>
                <w:ilvl w:val="0"/>
                <w:numId w:val="0"/>
              </w:numPr>
              <w:rPr>
                <w:sz w:val="20"/>
                <w:szCs w:val="20"/>
              </w:rPr>
            </w:pPr>
            <w:r w:rsidRPr="000D1876">
              <w:rPr>
                <w:sz w:val="20"/>
                <w:szCs w:val="20"/>
              </w:rPr>
              <w:t>0036ca</w:t>
            </w:r>
          </w:p>
        </w:tc>
        <w:tc>
          <w:tcPr>
            <w:tcW w:w="3962" w:type="dxa"/>
          </w:tcPr>
          <w:p w14:paraId="3B4910CB" w14:textId="519FBCF1" w:rsidR="005130D5" w:rsidRPr="000D1876" w:rsidRDefault="005130D5" w:rsidP="005130D5">
            <w:pPr>
              <w:numPr>
                <w:ilvl w:val="0"/>
                <w:numId w:val="0"/>
              </w:numPr>
              <w:rPr>
                <w:sz w:val="20"/>
                <w:szCs w:val="20"/>
              </w:rPr>
            </w:pPr>
            <w:r w:rsidRPr="000D1876">
              <w:rPr>
                <w:sz w:val="20"/>
                <w:szCs w:val="20"/>
              </w:rPr>
              <w:t>Land at Lyde Green Farm – Edward Ware Homes</w:t>
            </w:r>
          </w:p>
        </w:tc>
        <w:tc>
          <w:tcPr>
            <w:tcW w:w="1407" w:type="dxa"/>
          </w:tcPr>
          <w:p w14:paraId="7D162132" w14:textId="0A8690D4" w:rsidR="005130D5" w:rsidRPr="000D1876" w:rsidRDefault="005130D5" w:rsidP="005130D5">
            <w:pPr>
              <w:numPr>
                <w:ilvl w:val="0"/>
                <w:numId w:val="0"/>
              </w:numPr>
              <w:jc w:val="center"/>
              <w:rPr>
                <w:sz w:val="20"/>
                <w:szCs w:val="20"/>
              </w:rPr>
            </w:pPr>
            <w:r w:rsidRPr="000D1876">
              <w:rPr>
                <w:sz w:val="20"/>
                <w:szCs w:val="20"/>
              </w:rPr>
              <w:t>50</w:t>
            </w:r>
          </w:p>
        </w:tc>
        <w:tc>
          <w:tcPr>
            <w:tcW w:w="1478" w:type="dxa"/>
          </w:tcPr>
          <w:p w14:paraId="55048495" w14:textId="676ED17B" w:rsidR="005130D5" w:rsidRPr="000D1876" w:rsidRDefault="005130D5" w:rsidP="005130D5">
            <w:pPr>
              <w:numPr>
                <w:ilvl w:val="0"/>
                <w:numId w:val="0"/>
              </w:numPr>
              <w:jc w:val="center"/>
              <w:rPr>
                <w:sz w:val="20"/>
                <w:szCs w:val="20"/>
              </w:rPr>
            </w:pPr>
            <w:r w:rsidRPr="000D1876">
              <w:rPr>
                <w:sz w:val="20"/>
                <w:szCs w:val="20"/>
              </w:rPr>
              <w:t>0</w:t>
            </w:r>
          </w:p>
        </w:tc>
        <w:tc>
          <w:tcPr>
            <w:tcW w:w="1386" w:type="dxa"/>
          </w:tcPr>
          <w:p w14:paraId="295F2711" w14:textId="5B8594CF" w:rsidR="005130D5" w:rsidRPr="000D1876" w:rsidRDefault="00CC428B" w:rsidP="005130D5">
            <w:pPr>
              <w:numPr>
                <w:ilvl w:val="0"/>
                <w:numId w:val="0"/>
              </w:numPr>
              <w:jc w:val="center"/>
              <w:rPr>
                <w:sz w:val="20"/>
                <w:szCs w:val="20"/>
              </w:rPr>
            </w:pPr>
            <w:r>
              <w:rPr>
                <w:sz w:val="20"/>
                <w:szCs w:val="20"/>
              </w:rPr>
              <w:t>-</w:t>
            </w:r>
            <w:r w:rsidR="005130D5" w:rsidRPr="000D1876">
              <w:rPr>
                <w:sz w:val="20"/>
                <w:szCs w:val="20"/>
              </w:rPr>
              <w:t>50</w:t>
            </w:r>
          </w:p>
        </w:tc>
      </w:tr>
      <w:tr w:rsidR="005130D5" w14:paraId="32FC521C" w14:textId="77777777" w:rsidTr="00A2355B">
        <w:tc>
          <w:tcPr>
            <w:tcW w:w="981" w:type="dxa"/>
          </w:tcPr>
          <w:p w14:paraId="7F003BD6" w14:textId="77777777" w:rsidR="005130D5" w:rsidRPr="000D1876" w:rsidRDefault="005130D5" w:rsidP="005130D5">
            <w:pPr>
              <w:numPr>
                <w:ilvl w:val="0"/>
                <w:numId w:val="0"/>
              </w:numPr>
              <w:rPr>
                <w:sz w:val="20"/>
                <w:szCs w:val="20"/>
              </w:rPr>
            </w:pPr>
          </w:p>
        </w:tc>
        <w:tc>
          <w:tcPr>
            <w:tcW w:w="3962" w:type="dxa"/>
          </w:tcPr>
          <w:p w14:paraId="47048990" w14:textId="7834F277" w:rsidR="005130D5" w:rsidRPr="000D1876" w:rsidRDefault="005130D5" w:rsidP="005130D5">
            <w:pPr>
              <w:numPr>
                <w:ilvl w:val="0"/>
                <w:numId w:val="0"/>
              </w:numPr>
              <w:rPr>
                <w:sz w:val="20"/>
                <w:szCs w:val="20"/>
              </w:rPr>
            </w:pPr>
            <w:r w:rsidRPr="000D1876">
              <w:rPr>
                <w:sz w:val="20"/>
                <w:szCs w:val="20"/>
              </w:rPr>
              <w:t>Student accommodation</w:t>
            </w:r>
          </w:p>
        </w:tc>
        <w:tc>
          <w:tcPr>
            <w:tcW w:w="1407" w:type="dxa"/>
          </w:tcPr>
          <w:p w14:paraId="141E26DE" w14:textId="07B2C213" w:rsidR="005130D5" w:rsidRPr="000D1876" w:rsidRDefault="006E1F2A" w:rsidP="005130D5">
            <w:pPr>
              <w:numPr>
                <w:ilvl w:val="0"/>
                <w:numId w:val="0"/>
              </w:numPr>
              <w:jc w:val="center"/>
              <w:rPr>
                <w:sz w:val="20"/>
                <w:szCs w:val="20"/>
              </w:rPr>
            </w:pPr>
            <w:r w:rsidRPr="000D1876">
              <w:rPr>
                <w:sz w:val="20"/>
                <w:szCs w:val="20"/>
              </w:rPr>
              <w:t>307</w:t>
            </w:r>
          </w:p>
        </w:tc>
        <w:tc>
          <w:tcPr>
            <w:tcW w:w="1478" w:type="dxa"/>
          </w:tcPr>
          <w:p w14:paraId="63C5C60C" w14:textId="6FCC1463" w:rsidR="005130D5" w:rsidRPr="000D1876" w:rsidRDefault="006E1F2A" w:rsidP="005130D5">
            <w:pPr>
              <w:numPr>
                <w:ilvl w:val="0"/>
                <w:numId w:val="0"/>
              </w:numPr>
              <w:jc w:val="center"/>
              <w:rPr>
                <w:sz w:val="20"/>
                <w:szCs w:val="20"/>
              </w:rPr>
            </w:pPr>
            <w:r w:rsidRPr="000D1876">
              <w:rPr>
                <w:sz w:val="20"/>
                <w:szCs w:val="20"/>
              </w:rPr>
              <w:t>0</w:t>
            </w:r>
          </w:p>
        </w:tc>
        <w:tc>
          <w:tcPr>
            <w:tcW w:w="1386" w:type="dxa"/>
          </w:tcPr>
          <w:p w14:paraId="354BAB6D" w14:textId="24416BAF" w:rsidR="005130D5" w:rsidRPr="000D1876" w:rsidRDefault="00CC428B" w:rsidP="005130D5">
            <w:pPr>
              <w:numPr>
                <w:ilvl w:val="0"/>
                <w:numId w:val="0"/>
              </w:numPr>
              <w:jc w:val="center"/>
              <w:rPr>
                <w:sz w:val="20"/>
                <w:szCs w:val="20"/>
              </w:rPr>
            </w:pPr>
            <w:r>
              <w:rPr>
                <w:sz w:val="20"/>
                <w:szCs w:val="20"/>
              </w:rPr>
              <w:t>-</w:t>
            </w:r>
            <w:r w:rsidR="006E1F2A" w:rsidRPr="000D1876">
              <w:rPr>
                <w:sz w:val="20"/>
                <w:szCs w:val="20"/>
              </w:rPr>
              <w:t>307</w:t>
            </w:r>
          </w:p>
        </w:tc>
      </w:tr>
      <w:tr w:rsidR="000D1876" w14:paraId="2F99A7B7" w14:textId="77777777" w:rsidTr="00A2355B">
        <w:tc>
          <w:tcPr>
            <w:tcW w:w="981" w:type="dxa"/>
          </w:tcPr>
          <w:p w14:paraId="693680B6" w14:textId="77777777" w:rsidR="000D1876" w:rsidRPr="000D1876" w:rsidRDefault="000D1876" w:rsidP="005130D5">
            <w:pPr>
              <w:numPr>
                <w:ilvl w:val="0"/>
                <w:numId w:val="0"/>
              </w:numPr>
              <w:rPr>
                <w:sz w:val="20"/>
                <w:szCs w:val="20"/>
              </w:rPr>
            </w:pPr>
          </w:p>
        </w:tc>
        <w:tc>
          <w:tcPr>
            <w:tcW w:w="3962" w:type="dxa"/>
          </w:tcPr>
          <w:p w14:paraId="6AF4C2B8" w14:textId="36AC55D8" w:rsidR="000D1876" w:rsidRPr="000D1876" w:rsidRDefault="000D1876" w:rsidP="005130D5">
            <w:pPr>
              <w:numPr>
                <w:ilvl w:val="0"/>
                <w:numId w:val="0"/>
              </w:numPr>
              <w:rPr>
                <w:b/>
                <w:bCs/>
                <w:sz w:val="20"/>
                <w:szCs w:val="20"/>
              </w:rPr>
            </w:pPr>
            <w:r>
              <w:rPr>
                <w:b/>
                <w:bCs/>
                <w:sz w:val="20"/>
                <w:szCs w:val="20"/>
              </w:rPr>
              <w:t>Total</w:t>
            </w:r>
          </w:p>
        </w:tc>
        <w:tc>
          <w:tcPr>
            <w:tcW w:w="1407" w:type="dxa"/>
          </w:tcPr>
          <w:p w14:paraId="4ADF0FAB" w14:textId="101CF8BC" w:rsidR="000D1876" w:rsidRPr="000D1876" w:rsidRDefault="00F06845" w:rsidP="005130D5">
            <w:pPr>
              <w:numPr>
                <w:ilvl w:val="0"/>
                <w:numId w:val="0"/>
              </w:numPr>
              <w:jc w:val="center"/>
              <w:rPr>
                <w:b/>
                <w:bCs/>
                <w:sz w:val="20"/>
                <w:szCs w:val="20"/>
              </w:rPr>
            </w:pPr>
            <w:r>
              <w:rPr>
                <w:b/>
                <w:bCs/>
                <w:sz w:val="20"/>
                <w:szCs w:val="20"/>
              </w:rPr>
              <w:t>4,687</w:t>
            </w:r>
          </w:p>
        </w:tc>
        <w:tc>
          <w:tcPr>
            <w:tcW w:w="1478" w:type="dxa"/>
          </w:tcPr>
          <w:p w14:paraId="6A68F2A7" w14:textId="617EA537" w:rsidR="000D1876" w:rsidRPr="000D1876" w:rsidRDefault="00C31FD5" w:rsidP="005130D5">
            <w:pPr>
              <w:numPr>
                <w:ilvl w:val="0"/>
                <w:numId w:val="0"/>
              </w:numPr>
              <w:jc w:val="center"/>
              <w:rPr>
                <w:b/>
                <w:bCs/>
                <w:sz w:val="20"/>
                <w:szCs w:val="20"/>
              </w:rPr>
            </w:pPr>
            <w:r>
              <w:rPr>
                <w:b/>
                <w:bCs/>
                <w:sz w:val="20"/>
                <w:szCs w:val="20"/>
              </w:rPr>
              <w:t>2,069</w:t>
            </w:r>
          </w:p>
        </w:tc>
        <w:tc>
          <w:tcPr>
            <w:tcW w:w="1386" w:type="dxa"/>
          </w:tcPr>
          <w:p w14:paraId="5731E136" w14:textId="2BFE9A39" w:rsidR="000D1876" w:rsidRPr="000D1876" w:rsidRDefault="00CC428B" w:rsidP="005130D5">
            <w:pPr>
              <w:numPr>
                <w:ilvl w:val="0"/>
                <w:numId w:val="0"/>
              </w:numPr>
              <w:jc w:val="center"/>
              <w:rPr>
                <w:b/>
                <w:bCs/>
                <w:sz w:val="20"/>
                <w:szCs w:val="20"/>
              </w:rPr>
            </w:pPr>
            <w:r>
              <w:rPr>
                <w:b/>
                <w:bCs/>
                <w:sz w:val="20"/>
                <w:szCs w:val="20"/>
              </w:rPr>
              <w:t>-</w:t>
            </w:r>
            <w:r w:rsidR="000D1876" w:rsidRPr="000D1876">
              <w:rPr>
                <w:b/>
                <w:bCs/>
                <w:sz w:val="20"/>
                <w:szCs w:val="20"/>
              </w:rPr>
              <w:t>2,61</w:t>
            </w:r>
            <w:r w:rsidR="00F06845">
              <w:rPr>
                <w:b/>
                <w:bCs/>
                <w:sz w:val="20"/>
                <w:szCs w:val="20"/>
              </w:rPr>
              <w:t>8</w:t>
            </w:r>
          </w:p>
        </w:tc>
      </w:tr>
    </w:tbl>
    <w:p w14:paraId="4B38831A" w14:textId="77777777" w:rsidR="00E92818" w:rsidRDefault="00E92818" w:rsidP="008747AB">
      <w:pPr>
        <w:pStyle w:val="Heading4"/>
      </w:pPr>
    </w:p>
    <w:p w14:paraId="702EEBF8" w14:textId="22B8D62E" w:rsidR="00925C9A" w:rsidRDefault="00925C9A" w:rsidP="00925C9A">
      <w:pPr>
        <w:numPr>
          <w:ilvl w:val="0"/>
          <w:numId w:val="0"/>
        </w:numPr>
        <w:ind w:left="567" w:hanging="567"/>
      </w:pPr>
    </w:p>
    <w:p w14:paraId="27FD7043" w14:textId="2AE64479" w:rsidR="00925C9A" w:rsidRDefault="00925C9A" w:rsidP="00F65D47">
      <w:r>
        <w:t xml:space="preserve">The Council disagrees and considers that the only deductions that should be made are set are as set </w:t>
      </w:r>
      <w:r w:rsidR="009A6655">
        <w:t xml:space="preserve">out above in paragraph 2.13 which </w:t>
      </w:r>
      <w:r>
        <w:t>amount to 23 units.</w:t>
      </w:r>
    </w:p>
    <w:p w14:paraId="531F79C9" w14:textId="77777777" w:rsidR="00925C9A" w:rsidRPr="00925C9A" w:rsidRDefault="00925C9A" w:rsidP="00925C9A">
      <w:pPr>
        <w:numPr>
          <w:ilvl w:val="0"/>
          <w:numId w:val="0"/>
        </w:numPr>
        <w:ind w:left="567"/>
      </w:pPr>
    </w:p>
    <w:p w14:paraId="17043CA1" w14:textId="5B684C00" w:rsidR="00EB009B" w:rsidRDefault="00EB009B" w:rsidP="00F65D47">
      <w:pPr>
        <w:pStyle w:val="Heading2"/>
      </w:pPr>
      <w:r>
        <w:lastRenderedPageBreak/>
        <w:t>Extent of the deliverable supply</w:t>
      </w:r>
    </w:p>
    <w:p w14:paraId="713CA770" w14:textId="7A6D8F17" w:rsidR="00C31FD5" w:rsidRDefault="00E92818" w:rsidP="00030D18">
      <w:r>
        <w:t xml:space="preserve">The </w:t>
      </w:r>
      <w:r w:rsidR="00C31FD5">
        <w:t xml:space="preserve">Council </w:t>
      </w:r>
      <w:r>
        <w:t xml:space="preserve">considers </w:t>
      </w:r>
      <w:r w:rsidR="00333C05">
        <w:t xml:space="preserve">that the deliverable five year housing land supply </w:t>
      </w:r>
      <w:r w:rsidR="00333C05" w:rsidRPr="0075113D">
        <w:t xml:space="preserve">is </w:t>
      </w:r>
      <w:r w:rsidR="00C31FD5" w:rsidRPr="0075113D">
        <w:t>8,7</w:t>
      </w:r>
      <w:r w:rsidR="00A31BAE" w:rsidRPr="0075113D">
        <w:t>01</w:t>
      </w:r>
      <w:r w:rsidR="00C31FD5" w:rsidRPr="0075113D">
        <w:t xml:space="preserve"> dwellings. Against the local housing need and a 5% buffer, this equates to 6.1</w:t>
      </w:r>
      <w:r w:rsidR="00A31BAE" w:rsidRPr="0075113D">
        <w:t>2</w:t>
      </w:r>
      <w:r w:rsidR="00C31FD5" w:rsidRPr="0075113D">
        <w:t xml:space="preserve"> years</w:t>
      </w:r>
      <w:r w:rsidR="00C31FD5">
        <w:t>.</w:t>
      </w:r>
    </w:p>
    <w:p w14:paraId="346B9189" w14:textId="622DF99C" w:rsidR="00E92818" w:rsidRDefault="00C31FD5" w:rsidP="00030D18">
      <w:r>
        <w:t xml:space="preserve">The Appellant considers that the deliverable five year housing land supply is </w:t>
      </w:r>
      <w:r w:rsidR="00E92818">
        <w:t xml:space="preserve">6,106 </w:t>
      </w:r>
      <w:r w:rsidR="00333C05">
        <w:t>dwellings. A</w:t>
      </w:r>
      <w:r w:rsidR="00EB009B">
        <w:t xml:space="preserve">gainst </w:t>
      </w:r>
      <w:r>
        <w:t xml:space="preserve">the local housing need </w:t>
      </w:r>
      <w:r w:rsidR="00EB009B">
        <w:t xml:space="preserve">and a 5% buffer equates to </w:t>
      </w:r>
      <w:r w:rsidR="00333C05">
        <w:t>4.</w:t>
      </w:r>
      <w:r>
        <w:t>3</w:t>
      </w:r>
      <w:r w:rsidR="00333C05">
        <w:t xml:space="preserve"> </w:t>
      </w:r>
      <w:r w:rsidR="00EB009B">
        <w:t>years</w:t>
      </w:r>
      <w:r w:rsidR="00333C05">
        <w:t xml:space="preserve"> as shown in the following table</w:t>
      </w:r>
      <w:r w:rsidR="00DD084E">
        <w:t>:</w:t>
      </w:r>
    </w:p>
    <w:p w14:paraId="793D22DA" w14:textId="5AFE9A6E" w:rsidR="00DD084E" w:rsidRDefault="00DD084E" w:rsidP="005130D5">
      <w:pPr>
        <w:pStyle w:val="Heading4"/>
      </w:pPr>
      <w:r>
        <w:t xml:space="preserve">Table </w:t>
      </w:r>
      <w:r w:rsidR="00030D18">
        <w:t>3</w:t>
      </w:r>
      <w:r>
        <w:t xml:space="preserve">: </w:t>
      </w:r>
      <w:r w:rsidR="00E92818">
        <w:t>South Gloucestershire’s</w:t>
      </w:r>
      <w:r w:rsidRPr="00DD084E">
        <w:t xml:space="preserve"> Five Year Supply at 1st April 202</w:t>
      </w:r>
      <w:r w:rsidR="00333C05">
        <w:t>1</w:t>
      </w:r>
    </w:p>
    <w:tbl>
      <w:tblPr>
        <w:tblStyle w:val="TableGrid"/>
        <w:tblW w:w="0" w:type="auto"/>
        <w:tblInd w:w="567" w:type="dxa"/>
        <w:tblLook w:val="04A0" w:firstRow="1" w:lastRow="0" w:firstColumn="1" w:lastColumn="0" w:noHBand="0" w:noVBand="1"/>
      </w:tblPr>
      <w:tblGrid>
        <w:gridCol w:w="411"/>
        <w:gridCol w:w="4954"/>
        <w:gridCol w:w="1426"/>
        <w:gridCol w:w="1658"/>
      </w:tblGrid>
      <w:tr w:rsidR="00C31FD5" w:rsidRPr="00C31FD5" w14:paraId="26FAD45D" w14:textId="77777777" w:rsidTr="00905EBF">
        <w:tc>
          <w:tcPr>
            <w:tcW w:w="414" w:type="dxa"/>
          </w:tcPr>
          <w:p w14:paraId="12B90E8F" w14:textId="77777777" w:rsidR="00C31FD5" w:rsidRPr="00C31FD5" w:rsidRDefault="00C31FD5" w:rsidP="00C31FD5">
            <w:pPr>
              <w:numPr>
                <w:ilvl w:val="0"/>
                <w:numId w:val="0"/>
              </w:numPr>
              <w:rPr>
                <w:b/>
                <w:bCs/>
              </w:rPr>
            </w:pPr>
          </w:p>
        </w:tc>
        <w:tc>
          <w:tcPr>
            <w:tcW w:w="5636" w:type="dxa"/>
          </w:tcPr>
          <w:p w14:paraId="60704B0E" w14:textId="77777777" w:rsidR="00C31FD5" w:rsidRPr="00C31FD5" w:rsidRDefault="00C31FD5" w:rsidP="00C31FD5">
            <w:pPr>
              <w:numPr>
                <w:ilvl w:val="0"/>
                <w:numId w:val="0"/>
              </w:numPr>
              <w:rPr>
                <w:b/>
                <w:bCs/>
              </w:rPr>
            </w:pPr>
            <w:r w:rsidRPr="00C31FD5">
              <w:rPr>
                <w:b/>
                <w:bCs/>
              </w:rPr>
              <w:t>Requirement</w:t>
            </w:r>
          </w:p>
          <w:p w14:paraId="4EFC4063" w14:textId="77777777" w:rsidR="00C31FD5" w:rsidRPr="00C31FD5" w:rsidRDefault="00C31FD5" w:rsidP="00C31FD5">
            <w:pPr>
              <w:numPr>
                <w:ilvl w:val="0"/>
                <w:numId w:val="0"/>
              </w:numPr>
              <w:rPr>
                <w:b/>
                <w:bCs/>
              </w:rPr>
            </w:pPr>
          </w:p>
        </w:tc>
        <w:tc>
          <w:tcPr>
            <w:tcW w:w="1500" w:type="dxa"/>
          </w:tcPr>
          <w:p w14:paraId="3E3EE9CF" w14:textId="77777777" w:rsidR="00C31FD5" w:rsidRPr="00C31FD5" w:rsidRDefault="00C31FD5" w:rsidP="00C31FD5">
            <w:pPr>
              <w:numPr>
                <w:ilvl w:val="0"/>
                <w:numId w:val="0"/>
              </w:numPr>
              <w:rPr>
                <w:b/>
                <w:bCs/>
              </w:rPr>
            </w:pPr>
            <w:r w:rsidRPr="00C31FD5">
              <w:rPr>
                <w:b/>
                <w:bCs/>
              </w:rPr>
              <w:t>Council</w:t>
            </w:r>
          </w:p>
        </w:tc>
        <w:tc>
          <w:tcPr>
            <w:tcW w:w="1731" w:type="dxa"/>
          </w:tcPr>
          <w:p w14:paraId="0E9C8DDB" w14:textId="77777777" w:rsidR="00C31FD5" w:rsidRPr="00C31FD5" w:rsidRDefault="00C31FD5" w:rsidP="00C31FD5">
            <w:pPr>
              <w:numPr>
                <w:ilvl w:val="0"/>
                <w:numId w:val="0"/>
              </w:numPr>
              <w:rPr>
                <w:b/>
                <w:bCs/>
              </w:rPr>
            </w:pPr>
            <w:r w:rsidRPr="00C31FD5">
              <w:rPr>
                <w:b/>
                <w:bCs/>
              </w:rPr>
              <w:t>Appellant</w:t>
            </w:r>
          </w:p>
        </w:tc>
      </w:tr>
      <w:tr w:rsidR="00C31FD5" w:rsidRPr="00C31FD5" w14:paraId="2A5CA6E1" w14:textId="77777777" w:rsidTr="00905EBF">
        <w:tc>
          <w:tcPr>
            <w:tcW w:w="414" w:type="dxa"/>
          </w:tcPr>
          <w:p w14:paraId="7FB1CA66" w14:textId="77777777" w:rsidR="00C31FD5" w:rsidRPr="00C31FD5" w:rsidRDefault="00C31FD5" w:rsidP="00C31FD5">
            <w:pPr>
              <w:numPr>
                <w:ilvl w:val="0"/>
                <w:numId w:val="0"/>
              </w:numPr>
            </w:pPr>
            <w:r w:rsidRPr="00C31FD5">
              <w:t>A</w:t>
            </w:r>
          </w:p>
        </w:tc>
        <w:tc>
          <w:tcPr>
            <w:tcW w:w="5636" w:type="dxa"/>
          </w:tcPr>
          <w:p w14:paraId="62AEAA5B" w14:textId="77777777" w:rsidR="00C31FD5" w:rsidRPr="00C31FD5" w:rsidRDefault="00C31FD5" w:rsidP="00C31FD5">
            <w:pPr>
              <w:numPr>
                <w:ilvl w:val="0"/>
                <w:numId w:val="0"/>
              </w:numPr>
            </w:pPr>
            <w:r w:rsidRPr="00C31FD5">
              <w:t>Annual local housing need</w:t>
            </w:r>
          </w:p>
        </w:tc>
        <w:tc>
          <w:tcPr>
            <w:tcW w:w="3231" w:type="dxa"/>
            <w:gridSpan w:val="2"/>
          </w:tcPr>
          <w:p w14:paraId="61CA5646" w14:textId="77777777" w:rsidR="00C31FD5" w:rsidRPr="00C31FD5" w:rsidRDefault="00C31FD5" w:rsidP="00C31FD5">
            <w:pPr>
              <w:numPr>
                <w:ilvl w:val="0"/>
                <w:numId w:val="0"/>
              </w:numPr>
              <w:jc w:val="center"/>
            </w:pPr>
            <w:r w:rsidRPr="00C31FD5">
              <w:t>1,353</w:t>
            </w:r>
          </w:p>
        </w:tc>
      </w:tr>
      <w:tr w:rsidR="00C31FD5" w:rsidRPr="00C31FD5" w14:paraId="4EBEA2BE" w14:textId="77777777" w:rsidTr="00905EBF">
        <w:tc>
          <w:tcPr>
            <w:tcW w:w="414" w:type="dxa"/>
          </w:tcPr>
          <w:p w14:paraId="3F7ACB59" w14:textId="77777777" w:rsidR="00C31FD5" w:rsidRPr="00C31FD5" w:rsidRDefault="00C31FD5" w:rsidP="00C31FD5">
            <w:pPr>
              <w:numPr>
                <w:ilvl w:val="0"/>
                <w:numId w:val="0"/>
              </w:numPr>
            </w:pPr>
            <w:r w:rsidRPr="00C31FD5">
              <w:t>B</w:t>
            </w:r>
          </w:p>
        </w:tc>
        <w:tc>
          <w:tcPr>
            <w:tcW w:w="5636" w:type="dxa"/>
          </w:tcPr>
          <w:p w14:paraId="64D7E55B" w14:textId="77777777" w:rsidR="00C31FD5" w:rsidRPr="00C31FD5" w:rsidRDefault="00C31FD5" w:rsidP="00C31FD5">
            <w:pPr>
              <w:numPr>
                <w:ilvl w:val="0"/>
                <w:numId w:val="0"/>
              </w:numPr>
            </w:pPr>
            <w:r w:rsidRPr="00C31FD5">
              <w:t>Five year requirement (A X 5 years)</w:t>
            </w:r>
          </w:p>
        </w:tc>
        <w:tc>
          <w:tcPr>
            <w:tcW w:w="3231" w:type="dxa"/>
            <w:gridSpan w:val="2"/>
          </w:tcPr>
          <w:p w14:paraId="4986AD99" w14:textId="77777777" w:rsidR="00C31FD5" w:rsidRPr="00C31FD5" w:rsidRDefault="00C31FD5" w:rsidP="00C31FD5">
            <w:pPr>
              <w:numPr>
                <w:ilvl w:val="0"/>
                <w:numId w:val="0"/>
              </w:numPr>
              <w:jc w:val="center"/>
            </w:pPr>
            <w:r w:rsidRPr="00C31FD5">
              <w:t>6,765</w:t>
            </w:r>
          </w:p>
        </w:tc>
      </w:tr>
      <w:tr w:rsidR="00C31FD5" w:rsidRPr="00C31FD5" w14:paraId="4D7AE64D" w14:textId="77777777" w:rsidTr="00905EBF">
        <w:tc>
          <w:tcPr>
            <w:tcW w:w="414" w:type="dxa"/>
          </w:tcPr>
          <w:p w14:paraId="02763CE7" w14:textId="77777777" w:rsidR="00C31FD5" w:rsidRPr="00C31FD5" w:rsidRDefault="00C31FD5" w:rsidP="00C31FD5">
            <w:pPr>
              <w:numPr>
                <w:ilvl w:val="0"/>
                <w:numId w:val="0"/>
              </w:numPr>
            </w:pPr>
            <w:r w:rsidRPr="00C31FD5">
              <w:t>C</w:t>
            </w:r>
          </w:p>
        </w:tc>
        <w:tc>
          <w:tcPr>
            <w:tcW w:w="5636" w:type="dxa"/>
          </w:tcPr>
          <w:p w14:paraId="0D0B1049" w14:textId="77777777" w:rsidR="00C31FD5" w:rsidRPr="00C31FD5" w:rsidRDefault="00C31FD5" w:rsidP="00C31FD5">
            <w:pPr>
              <w:numPr>
                <w:ilvl w:val="0"/>
                <w:numId w:val="0"/>
              </w:numPr>
            </w:pPr>
            <w:r w:rsidRPr="00C31FD5">
              <w:t>Five year housing land supply to be demonstrated (B + 5%)</w:t>
            </w:r>
          </w:p>
        </w:tc>
        <w:tc>
          <w:tcPr>
            <w:tcW w:w="3231" w:type="dxa"/>
            <w:gridSpan w:val="2"/>
          </w:tcPr>
          <w:p w14:paraId="7C7C73FF" w14:textId="77777777" w:rsidR="00C31FD5" w:rsidRPr="00C31FD5" w:rsidRDefault="00C31FD5" w:rsidP="00C31FD5">
            <w:pPr>
              <w:numPr>
                <w:ilvl w:val="0"/>
                <w:numId w:val="0"/>
              </w:numPr>
              <w:jc w:val="center"/>
            </w:pPr>
            <w:r w:rsidRPr="00C31FD5">
              <w:t>7,103</w:t>
            </w:r>
          </w:p>
        </w:tc>
      </w:tr>
      <w:tr w:rsidR="00C31FD5" w:rsidRPr="00C31FD5" w14:paraId="3C327991" w14:textId="77777777" w:rsidTr="00905EBF">
        <w:tc>
          <w:tcPr>
            <w:tcW w:w="414" w:type="dxa"/>
          </w:tcPr>
          <w:p w14:paraId="7EE1FF72" w14:textId="77777777" w:rsidR="00C31FD5" w:rsidRPr="00C31FD5" w:rsidRDefault="00C31FD5" w:rsidP="00C31FD5">
            <w:pPr>
              <w:numPr>
                <w:ilvl w:val="0"/>
                <w:numId w:val="0"/>
              </w:numPr>
            </w:pPr>
            <w:r w:rsidRPr="00C31FD5">
              <w:t>D</w:t>
            </w:r>
          </w:p>
        </w:tc>
        <w:tc>
          <w:tcPr>
            <w:tcW w:w="5636" w:type="dxa"/>
          </w:tcPr>
          <w:p w14:paraId="3F11B2B3" w14:textId="77777777" w:rsidR="00C31FD5" w:rsidRPr="00C31FD5" w:rsidRDefault="00C31FD5" w:rsidP="00C31FD5">
            <w:pPr>
              <w:numPr>
                <w:ilvl w:val="0"/>
                <w:numId w:val="0"/>
              </w:numPr>
            </w:pPr>
            <w:r w:rsidRPr="00C31FD5">
              <w:t>Annual average requirement plus buffer (C / 5 years)</w:t>
            </w:r>
          </w:p>
        </w:tc>
        <w:tc>
          <w:tcPr>
            <w:tcW w:w="3231" w:type="dxa"/>
            <w:gridSpan w:val="2"/>
          </w:tcPr>
          <w:p w14:paraId="2501414A" w14:textId="77777777" w:rsidR="00C31FD5" w:rsidRPr="00C31FD5" w:rsidRDefault="00C31FD5" w:rsidP="00C31FD5">
            <w:pPr>
              <w:numPr>
                <w:ilvl w:val="0"/>
                <w:numId w:val="0"/>
              </w:numPr>
              <w:jc w:val="center"/>
            </w:pPr>
            <w:r w:rsidRPr="00C31FD5">
              <w:t>1,420.5</w:t>
            </w:r>
          </w:p>
        </w:tc>
      </w:tr>
      <w:tr w:rsidR="00C31FD5" w:rsidRPr="00C31FD5" w14:paraId="583845C3" w14:textId="77777777" w:rsidTr="00905EBF">
        <w:tc>
          <w:tcPr>
            <w:tcW w:w="414" w:type="dxa"/>
          </w:tcPr>
          <w:p w14:paraId="776E86AA" w14:textId="77777777" w:rsidR="00C31FD5" w:rsidRPr="00C31FD5" w:rsidRDefault="00C31FD5" w:rsidP="00C31FD5">
            <w:pPr>
              <w:numPr>
                <w:ilvl w:val="0"/>
                <w:numId w:val="0"/>
              </w:numPr>
            </w:pPr>
          </w:p>
        </w:tc>
        <w:tc>
          <w:tcPr>
            <w:tcW w:w="5636" w:type="dxa"/>
          </w:tcPr>
          <w:p w14:paraId="6631238A" w14:textId="77777777" w:rsidR="00C31FD5" w:rsidRPr="00C31FD5" w:rsidRDefault="00C31FD5" w:rsidP="00C31FD5">
            <w:pPr>
              <w:numPr>
                <w:ilvl w:val="0"/>
                <w:numId w:val="0"/>
              </w:numPr>
            </w:pPr>
            <w:r w:rsidRPr="00C31FD5">
              <w:t>Supply</w:t>
            </w:r>
          </w:p>
          <w:p w14:paraId="062D41AC" w14:textId="77777777" w:rsidR="00C31FD5" w:rsidRPr="00C31FD5" w:rsidRDefault="00C31FD5" w:rsidP="00C31FD5">
            <w:pPr>
              <w:numPr>
                <w:ilvl w:val="0"/>
                <w:numId w:val="0"/>
              </w:numPr>
            </w:pPr>
          </w:p>
        </w:tc>
        <w:tc>
          <w:tcPr>
            <w:tcW w:w="1500" w:type="dxa"/>
          </w:tcPr>
          <w:p w14:paraId="113D237A" w14:textId="77777777" w:rsidR="00C31FD5" w:rsidRPr="00C31FD5" w:rsidRDefault="00C31FD5" w:rsidP="00C31FD5">
            <w:pPr>
              <w:numPr>
                <w:ilvl w:val="0"/>
                <w:numId w:val="0"/>
              </w:numPr>
            </w:pPr>
          </w:p>
        </w:tc>
        <w:tc>
          <w:tcPr>
            <w:tcW w:w="1731" w:type="dxa"/>
          </w:tcPr>
          <w:p w14:paraId="7186B770" w14:textId="77777777" w:rsidR="00C31FD5" w:rsidRPr="00C31FD5" w:rsidRDefault="00C31FD5" w:rsidP="00C31FD5">
            <w:pPr>
              <w:numPr>
                <w:ilvl w:val="0"/>
                <w:numId w:val="0"/>
              </w:numPr>
            </w:pPr>
          </w:p>
        </w:tc>
      </w:tr>
      <w:tr w:rsidR="00C31FD5" w:rsidRPr="00C31FD5" w14:paraId="79B4E41A" w14:textId="77777777" w:rsidTr="00905EBF">
        <w:tc>
          <w:tcPr>
            <w:tcW w:w="414" w:type="dxa"/>
          </w:tcPr>
          <w:p w14:paraId="01D93045" w14:textId="77777777" w:rsidR="00C31FD5" w:rsidRPr="00C31FD5" w:rsidRDefault="00C31FD5" w:rsidP="00C31FD5">
            <w:pPr>
              <w:numPr>
                <w:ilvl w:val="0"/>
                <w:numId w:val="0"/>
              </w:numPr>
            </w:pPr>
            <w:r w:rsidRPr="00C31FD5">
              <w:t>E</w:t>
            </w:r>
          </w:p>
        </w:tc>
        <w:tc>
          <w:tcPr>
            <w:tcW w:w="5636" w:type="dxa"/>
          </w:tcPr>
          <w:p w14:paraId="041D8629" w14:textId="77777777" w:rsidR="00C31FD5" w:rsidRPr="00C31FD5" w:rsidRDefault="00C31FD5" w:rsidP="00C31FD5">
            <w:pPr>
              <w:numPr>
                <w:ilvl w:val="0"/>
                <w:numId w:val="0"/>
              </w:numPr>
            </w:pPr>
            <w:r w:rsidRPr="00C31FD5">
              <w:t>Supply to 31st March 2026</w:t>
            </w:r>
          </w:p>
        </w:tc>
        <w:tc>
          <w:tcPr>
            <w:tcW w:w="1500" w:type="dxa"/>
          </w:tcPr>
          <w:p w14:paraId="7BB0841F" w14:textId="15CDC30B" w:rsidR="00C31FD5" w:rsidRPr="00C31FD5" w:rsidRDefault="00C31FD5" w:rsidP="00C31FD5">
            <w:pPr>
              <w:numPr>
                <w:ilvl w:val="0"/>
                <w:numId w:val="0"/>
              </w:numPr>
            </w:pPr>
            <w:r w:rsidRPr="00C31FD5">
              <w:t>8,7</w:t>
            </w:r>
            <w:r w:rsidR="00217620">
              <w:t>01</w:t>
            </w:r>
          </w:p>
        </w:tc>
        <w:tc>
          <w:tcPr>
            <w:tcW w:w="1731" w:type="dxa"/>
          </w:tcPr>
          <w:p w14:paraId="3DC9970F" w14:textId="77777777" w:rsidR="00C31FD5" w:rsidRPr="00C31FD5" w:rsidRDefault="00C31FD5" w:rsidP="00C31FD5">
            <w:pPr>
              <w:numPr>
                <w:ilvl w:val="0"/>
                <w:numId w:val="0"/>
              </w:numPr>
            </w:pPr>
            <w:r w:rsidRPr="00C31FD5">
              <w:t>6,106</w:t>
            </w:r>
          </w:p>
        </w:tc>
      </w:tr>
      <w:tr w:rsidR="00C31FD5" w:rsidRPr="00C31FD5" w14:paraId="31E4A221" w14:textId="77777777" w:rsidTr="00905EBF">
        <w:tc>
          <w:tcPr>
            <w:tcW w:w="414" w:type="dxa"/>
          </w:tcPr>
          <w:p w14:paraId="2B9FA87E" w14:textId="77777777" w:rsidR="00C31FD5" w:rsidRPr="00C31FD5" w:rsidRDefault="00C31FD5" w:rsidP="00C31FD5">
            <w:pPr>
              <w:numPr>
                <w:ilvl w:val="0"/>
                <w:numId w:val="0"/>
              </w:numPr>
            </w:pPr>
            <w:r w:rsidRPr="00C31FD5">
              <w:t>F</w:t>
            </w:r>
          </w:p>
        </w:tc>
        <w:tc>
          <w:tcPr>
            <w:tcW w:w="5636" w:type="dxa"/>
          </w:tcPr>
          <w:p w14:paraId="270FA4BE" w14:textId="77777777" w:rsidR="00C31FD5" w:rsidRPr="00C31FD5" w:rsidRDefault="00C31FD5" w:rsidP="00C31FD5">
            <w:pPr>
              <w:numPr>
                <w:ilvl w:val="0"/>
                <w:numId w:val="0"/>
              </w:numPr>
            </w:pPr>
            <w:r w:rsidRPr="00C31FD5">
              <w:t>Supply in years (E / D)</w:t>
            </w:r>
          </w:p>
        </w:tc>
        <w:tc>
          <w:tcPr>
            <w:tcW w:w="1500" w:type="dxa"/>
          </w:tcPr>
          <w:p w14:paraId="1E2FE4FE" w14:textId="11C04BAD" w:rsidR="00C31FD5" w:rsidRPr="00C31FD5" w:rsidRDefault="00C31FD5" w:rsidP="00C31FD5">
            <w:pPr>
              <w:numPr>
                <w:ilvl w:val="0"/>
                <w:numId w:val="0"/>
              </w:numPr>
              <w:rPr>
                <w:b/>
                <w:bCs/>
              </w:rPr>
            </w:pPr>
            <w:r w:rsidRPr="00C31FD5">
              <w:rPr>
                <w:b/>
                <w:bCs/>
              </w:rPr>
              <w:t>6.1</w:t>
            </w:r>
            <w:r w:rsidR="00217620">
              <w:rPr>
                <w:b/>
                <w:bCs/>
              </w:rPr>
              <w:t>2</w:t>
            </w:r>
          </w:p>
        </w:tc>
        <w:tc>
          <w:tcPr>
            <w:tcW w:w="1731" w:type="dxa"/>
          </w:tcPr>
          <w:p w14:paraId="2E70A131" w14:textId="77777777" w:rsidR="00C31FD5" w:rsidRPr="00C31FD5" w:rsidRDefault="00C31FD5" w:rsidP="00C31FD5">
            <w:pPr>
              <w:numPr>
                <w:ilvl w:val="0"/>
                <w:numId w:val="0"/>
              </w:numPr>
              <w:rPr>
                <w:b/>
                <w:bCs/>
              </w:rPr>
            </w:pPr>
            <w:r w:rsidRPr="00C31FD5">
              <w:rPr>
                <w:b/>
                <w:bCs/>
              </w:rPr>
              <w:t>4.3</w:t>
            </w:r>
          </w:p>
        </w:tc>
      </w:tr>
      <w:tr w:rsidR="00C31FD5" w:rsidRPr="00C31FD5" w14:paraId="1B146D76" w14:textId="77777777" w:rsidTr="00905EBF">
        <w:tc>
          <w:tcPr>
            <w:tcW w:w="414" w:type="dxa"/>
          </w:tcPr>
          <w:p w14:paraId="2B2C90D9" w14:textId="77777777" w:rsidR="00C31FD5" w:rsidRPr="00C31FD5" w:rsidRDefault="00C31FD5" w:rsidP="00C31FD5">
            <w:pPr>
              <w:numPr>
                <w:ilvl w:val="0"/>
                <w:numId w:val="0"/>
              </w:numPr>
            </w:pPr>
            <w:r w:rsidRPr="00C31FD5">
              <w:t>G</w:t>
            </w:r>
          </w:p>
        </w:tc>
        <w:tc>
          <w:tcPr>
            <w:tcW w:w="5636" w:type="dxa"/>
          </w:tcPr>
          <w:p w14:paraId="67BDABE6" w14:textId="77777777" w:rsidR="00C31FD5" w:rsidRPr="00C31FD5" w:rsidRDefault="00C31FD5" w:rsidP="00C31FD5">
            <w:pPr>
              <w:numPr>
                <w:ilvl w:val="0"/>
                <w:numId w:val="0"/>
              </w:numPr>
            </w:pPr>
            <w:r w:rsidRPr="00C31FD5">
              <w:t>Surplus / Shortfall against the five year requirement plus 5% buffer (E – C)</w:t>
            </w:r>
          </w:p>
        </w:tc>
        <w:tc>
          <w:tcPr>
            <w:tcW w:w="1500" w:type="dxa"/>
          </w:tcPr>
          <w:p w14:paraId="727872F0" w14:textId="1923D4B0" w:rsidR="00C31FD5" w:rsidRPr="00C31FD5" w:rsidRDefault="00C31FD5" w:rsidP="00C31FD5">
            <w:pPr>
              <w:numPr>
                <w:ilvl w:val="0"/>
                <w:numId w:val="0"/>
              </w:numPr>
              <w:rPr>
                <w:b/>
                <w:bCs/>
              </w:rPr>
            </w:pPr>
            <w:r w:rsidRPr="00C31FD5">
              <w:rPr>
                <w:b/>
                <w:bCs/>
              </w:rPr>
              <w:t>1,</w:t>
            </w:r>
            <w:r w:rsidR="00217620">
              <w:rPr>
                <w:b/>
                <w:bCs/>
              </w:rPr>
              <w:t>598</w:t>
            </w:r>
          </w:p>
        </w:tc>
        <w:tc>
          <w:tcPr>
            <w:tcW w:w="1731" w:type="dxa"/>
          </w:tcPr>
          <w:p w14:paraId="11DE5FF8" w14:textId="77777777" w:rsidR="00C31FD5" w:rsidRPr="00C31FD5" w:rsidRDefault="00C31FD5" w:rsidP="00C31FD5">
            <w:pPr>
              <w:numPr>
                <w:ilvl w:val="0"/>
                <w:numId w:val="0"/>
              </w:numPr>
              <w:rPr>
                <w:b/>
                <w:bCs/>
              </w:rPr>
            </w:pPr>
            <w:r w:rsidRPr="00C31FD5">
              <w:rPr>
                <w:b/>
                <w:bCs/>
              </w:rPr>
              <w:t>-997</w:t>
            </w:r>
          </w:p>
        </w:tc>
      </w:tr>
    </w:tbl>
    <w:p w14:paraId="504D8173" w14:textId="50E42850" w:rsidR="00DD084E" w:rsidRDefault="00DD084E" w:rsidP="00DD084E">
      <w:pPr>
        <w:numPr>
          <w:ilvl w:val="0"/>
          <w:numId w:val="0"/>
        </w:numPr>
        <w:ind w:left="567"/>
      </w:pPr>
    </w:p>
    <w:p w14:paraId="1E51BF48" w14:textId="6E70402E" w:rsidR="00CD6ED0" w:rsidRDefault="00CD6ED0" w:rsidP="00CD6ED0">
      <w:pPr>
        <w:pStyle w:val="Heading4"/>
      </w:pPr>
      <w:r>
        <w:t>Affordable housing supply</w:t>
      </w:r>
    </w:p>
    <w:p w14:paraId="7357C76D" w14:textId="09D8E4E2" w:rsidR="00A35502" w:rsidRDefault="000441FF" w:rsidP="00030D18">
      <w:r>
        <w:t xml:space="preserve"> </w:t>
      </w:r>
      <w:r w:rsidR="00A35502">
        <w:t>It is agreed that the latest assessment of affordable housing need is set out in the West of England Local Housing Needs Assessment (LHNA, ORS, September 2021).  The Appellant considers that this is an untested document which will be examined as part of the West of England Spatial Plan. The Council considers that this is the most up to date information currently available on affordable housing need in its area and should be relied upon as such in a section 78 appeal.</w:t>
      </w:r>
    </w:p>
    <w:p w14:paraId="4E62F6CF" w14:textId="6105E12D" w:rsidR="00741BB5" w:rsidRDefault="00C82049" w:rsidP="00030D18">
      <w:r>
        <w:t>The Appella</w:t>
      </w:r>
      <w:r w:rsidR="00A35502">
        <w:t xml:space="preserve">nt considers that it is appropriate in considering affordable housing need </w:t>
      </w:r>
      <w:r w:rsidR="00F96897">
        <w:t>to utilise</w:t>
      </w:r>
      <w:r>
        <w:t xml:space="preserve"> the </w:t>
      </w:r>
      <w:r w:rsidR="00DA355F">
        <w:t>affordable housing completions against the need identified in the Core Strategy</w:t>
      </w:r>
      <w:r w:rsidR="00F954E4">
        <w:t xml:space="preserve"> which is 903 units per annum</w:t>
      </w:r>
      <w:r w:rsidR="00DA355F">
        <w:t xml:space="preserve">. </w:t>
      </w:r>
      <w:r w:rsidR="00741BB5">
        <w:t xml:space="preserve">Using this figure there is a cumulative shortfall of at least 6,736 affordable dwellings. </w:t>
      </w:r>
      <w:r w:rsidR="00F954E4">
        <w:t xml:space="preserve">The Council disagrees </w:t>
      </w:r>
      <w:r w:rsidR="00741BB5">
        <w:t xml:space="preserve">with the use of this figure </w:t>
      </w:r>
      <w:r w:rsidR="00F954E4">
        <w:t>and considers that the appropriate figures to use for assessing affordable housing need is that contained in the LHN</w:t>
      </w:r>
      <w:r w:rsidR="00FB4647">
        <w:t>A</w:t>
      </w:r>
      <w:r w:rsidR="00F954E4">
        <w:t xml:space="preserve"> 2021 which </w:t>
      </w:r>
      <w:proofErr w:type="gramStart"/>
      <w:r w:rsidR="00F954E4">
        <w:t>takes into account</w:t>
      </w:r>
      <w:proofErr w:type="gramEnd"/>
      <w:r w:rsidR="00F954E4">
        <w:t xml:space="preserve"> any backlog of need</w:t>
      </w:r>
      <w:r w:rsidR="00741BB5">
        <w:t xml:space="preserve">. </w:t>
      </w:r>
    </w:p>
    <w:p w14:paraId="10E2426D" w14:textId="77777777" w:rsidR="00030D18" w:rsidRDefault="00030D18" w:rsidP="00030D18">
      <w:r>
        <w:t xml:space="preserve">The Appellant refers to the affordable housing need for South Gloucestershire over the period 2020-35 of 18,455 households as set out within the LHNA. This equates to 1,230 households per year. The Council considers that  it  is  incorrect  to use this figure contained in the LHNA to identify affordable housing needs as this figure includes a significant proportion of those that can afford to rent or buy on the open market, or who aspire to but cannot access affordable home ownership. </w:t>
      </w:r>
    </w:p>
    <w:p w14:paraId="658956AA" w14:textId="37960247" w:rsidR="00741BB5" w:rsidRDefault="00030D18" w:rsidP="00030D18">
      <w:r>
        <w:t xml:space="preserve">The Council considers the LHNA 2021 identifies affordable housing need over 2 planning periods – for 15 years 2020-35 and for 20 years 2020-40. There is currently a </w:t>
      </w:r>
      <w:r>
        <w:lastRenderedPageBreak/>
        <w:t>need for 6,165 affordable homes for South Gloucestershire in the plan period 2020-35, or approximately 411 homes per annum. There is currently a need for 7,485 affordable homes for South Gloucestershire in the plan period 2020-40, or approximately 370 affordable homes per annum. The Council considers that it has an available supply of 500 dwellings per annum that adequately provides  for that need</w:t>
      </w:r>
    </w:p>
    <w:p w14:paraId="60CEB7BC" w14:textId="051FCCAC" w:rsidR="00741BB5" w:rsidRDefault="00741BB5" w:rsidP="00030D18">
      <w:r>
        <w:t>The Council considers that the forward supply of affordable housing over the next five years based on its trajectory is 2,</w:t>
      </w:r>
      <w:r w:rsidR="00D06188">
        <w:t>499</w:t>
      </w:r>
      <w:r>
        <w:t xml:space="preserve">. </w:t>
      </w:r>
      <w:r w:rsidR="00C214AA">
        <w:t>The Appellants consider that the available supply is 1,569.</w:t>
      </w:r>
    </w:p>
    <w:p w14:paraId="2C67DD81" w14:textId="1271D341" w:rsidR="00CD6ED0" w:rsidRDefault="00E770B0" w:rsidP="00030D18">
      <w:r>
        <w:t xml:space="preserve">Whilst it is </w:t>
      </w:r>
      <w:r w:rsidR="00CD6ED0">
        <w:t>agreed that there are</w:t>
      </w:r>
      <w:r w:rsidR="00D06188">
        <w:t xml:space="preserve"> in the region of</w:t>
      </w:r>
      <w:r w:rsidR="00CD6ED0">
        <w:t xml:space="preserve"> 4,059 households on </w:t>
      </w:r>
      <w:r w:rsidR="00CE7329">
        <w:t>the Council’s Housing Register i</w:t>
      </w:r>
      <w:r>
        <w:t xml:space="preserve">t is not agreed that this is an appropriate figure to rely on to identify affordable housing need. The Council considers that the relevant up to date information on affordable housing need is that contained in the recent </w:t>
      </w:r>
      <w:proofErr w:type="gramStart"/>
      <w:r>
        <w:t>LHNA</w:t>
      </w:r>
      <w:proofErr w:type="gramEnd"/>
      <w:r w:rsidR="00A2355B">
        <w:t xml:space="preserve"> and which takes into accou</w:t>
      </w:r>
      <w:r w:rsidR="003E4F1E">
        <w:t>n</w:t>
      </w:r>
      <w:r w:rsidR="00A2355B">
        <w:t>t backlog</w:t>
      </w:r>
      <w:r>
        <w:t xml:space="preserve">.  </w:t>
      </w:r>
      <w:r w:rsidR="00666740">
        <w:t xml:space="preserve">The Council also considers that the Council’s Housing Register includes those who can afford to buy or rent on the open market. </w:t>
      </w:r>
      <w:r w:rsidR="00CE7329">
        <w:t>The</w:t>
      </w:r>
      <w:r w:rsidR="00666740">
        <w:t xml:space="preserve"> Appellant considers that the 4,</w:t>
      </w:r>
      <w:r w:rsidR="00CE7329">
        <w:t>059 figure is appropriate to identify</w:t>
      </w:r>
      <w:r w:rsidR="00666740">
        <w:t xml:space="preserve"> current</w:t>
      </w:r>
      <w:r w:rsidR="00CE7329">
        <w:t xml:space="preserve"> affordable housing need.</w:t>
      </w:r>
    </w:p>
    <w:p w14:paraId="389D8E94" w14:textId="77777777" w:rsidR="00A2355B" w:rsidRDefault="00A2355B" w:rsidP="000D1876">
      <w:pPr>
        <w:numPr>
          <w:ilvl w:val="0"/>
          <w:numId w:val="0"/>
        </w:numPr>
        <w:ind w:left="567"/>
      </w:pPr>
    </w:p>
    <w:p w14:paraId="266C9108" w14:textId="6C71EA5F" w:rsidR="0052128F" w:rsidRDefault="0052128F" w:rsidP="000D1876">
      <w:pPr>
        <w:numPr>
          <w:ilvl w:val="0"/>
          <w:numId w:val="0"/>
        </w:numPr>
        <w:ind w:left="567"/>
      </w:pPr>
    </w:p>
    <w:p w14:paraId="405B185B" w14:textId="77777777" w:rsidR="0052128F" w:rsidRDefault="0052128F" w:rsidP="000D1876">
      <w:pPr>
        <w:numPr>
          <w:ilvl w:val="0"/>
          <w:numId w:val="0"/>
        </w:numPr>
      </w:pPr>
    </w:p>
    <w:sectPr w:rsidR="0052128F" w:rsidSect="00CD6ED0">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0D94" w14:textId="77777777" w:rsidR="00342EF5" w:rsidRDefault="00342EF5" w:rsidP="00336099">
      <w:pPr>
        <w:spacing w:after="0" w:line="240" w:lineRule="auto"/>
      </w:pPr>
      <w:r>
        <w:separator/>
      </w:r>
    </w:p>
  </w:endnote>
  <w:endnote w:type="continuationSeparator" w:id="0">
    <w:p w14:paraId="416075F0" w14:textId="77777777" w:rsidR="00342EF5" w:rsidRDefault="00342EF5" w:rsidP="0033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369063"/>
      <w:docPartObj>
        <w:docPartGallery w:val="Page Numbers (Bottom of Page)"/>
        <w:docPartUnique/>
      </w:docPartObj>
    </w:sdtPr>
    <w:sdtEndPr>
      <w:rPr>
        <w:noProof/>
      </w:rPr>
    </w:sdtEndPr>
    <w:sdtContent>
      <w:p w14:paraId="2EE26558" w14:textId="4C653BEA" w:rsidR="000C17F6" w:rsidRDefault="000C17F6">
        <w:pPr>
          <w:pStyle w:val="Footer"/>
          <w:jc w:val="center"/>
        </w:pPr>
        <w:r>
          <w:fldChar w:fldCharType="begin"/>
        </w:r>
        <w:r>
          <w:instrText xml:space="preserve"> PAGE   \* MERGEFORMAT </w:instrText>
        </w:r>
        <w:r>
          <w:fldChar w:fldCharType="separate"/>
        </w:r>
        <w:r w:rsidR="009404B6">
          <w:rPr>
            <w:noProof/>
          </w:rPr>
          <w:t>9</w:t>
        </w:r>
        <w:r>
          <w:rPr>
            <w:noProof/>
          </w:rPr>
          <w:fldChar w:fldCharType="end"/>
        </w:r>
      </w:p>
    </w:sdtContent>
  </w:sdt>
  <w:p w14:paraId="4762B1EC" w14:textId="77777777" w:rsidR="000C17F6" w:rsidRDefault="000C1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6D32" w14:textId="77777777" w:rsidR="00342EF5" w:rsidRDefault="00342EF5" w:rsidP="00336099">
      <w:pPr>
        <w:spacing w:after="0" w:line="240" w:lineRule="auto"/>
      </w:pPr>
      <w:r>
        <w:separator/>
      </w:r>
    </w:p>
  </w:footnote>
  <w:footnote w:type="continuationSeparator" w:id="0">
    <w:p w14:paraId="2615DF1B" w14:textId="77777777" w:rsidR="00342EF5" w:rsidRDefault="00342EF5" w:rsidP="00336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DD0D" w14:textId="0CDA25F0" w:rsidR="000C17F6" w:rsidRDefault="000C17F6">
    <w:pPr>
      <w:pStyle w:val="Header"/>
    </w:pPr>
    <w:r>
      <w:t>Statement of Common Ground (Housing Supply and Delivery) – 1</w:t>
    </w:r>
    <w:r w:rsidR="00EE2316">
      <w:t>7</w:t>
    </w:r>
    <w:r>
      <w:t>/03/2022</w:t>
    </w:r>
  </w:p>
  <w:p w14:paraId="6F6B5221" w14:textId="77777777" w:rsidR="000C17F6" w:rsidRDefault="000C1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0CFDC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4E45A1A"/>
    <w:multiLevelType w:val="hybridMultilevel"/>
    <w:tmpl w:val="CC00C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F71E0"/>
    <w:multiLevelType w:val="hybridMultilevel"/>
    <w:tmpl w:val="C8281FCA"/>
    <w:lvl w:ilvl="0" w:tplc="A6DA75C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097031BF"/>
    <w:multiLevelType w:val="hybridMultilevel"/>
    <w:tmpl w:val="53A4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F0263"/>
    <w:multiLevelType w:val="hybridMultilevel"/>
    <w:tmpl w:val="6B46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A6A57"/>
    <w:multiLevelType w:val="hybridMultilevel"/>
    <w:tmpl w:val="9DFA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C3AF7"/>
    <w:multiLevelType w:val="hybridMultilevel"/>
    <w:tmpl w:val="8DB4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123CC"/>
    <w:multiLevelType w:val="multilevel"/>
    <w:tmpl w:val="00900EC4"/>
    <w:lvl w:ilvl="0">
      <w:start w:val="1"/>
      <w:numFmt w:val="decimal"/>
      <w:lvlText w:val="%1."/>
      <w:lvlJc w:val="left"/>
      <w:pPr>
        <w:ind w:left="567" w:hanging="567"/>
      </w:pPr>
    </w:lvl>
    <w:lvl w:ilvl="1">
      <w:start w:val="1"/>
      <w:numFmt w:val="none"/>
      <w:lvlText w:val="%2"/>
      <w:lvlJc w:val="left"/>
      <w:pPr>
        <w:ind w:left="567" w:hanging="567"/>
      </w:pPr>
    </w:lvl>
    <w:lvl w:ilvl="2">
      <w:start w:val="1"/>
      <w:numFmt w:val="none"/>
      <w:lvlRestart w:val="1"/>
      <w:lvlText w:val="%3"/>
      <w:lvlJc w:val="left"/>
      <w:pPr>
        <w:ind w:left="567" w:hanging="567"/>
      </w:pPr>
    </w:lvl>
    <w:lvl w:ilvl="3">
      <w:start w:val="1"/>
      <w:numFmt w:val="none"/>
      <w:lvlRestart w:val="1"/>
      <w:lvlText w:val=""/>
      <w:lvlJc w:val="left"/>
      <w:pPr>
        <w:ind w:left="567" w:hanging="567"/>
      </w:pPr>
    </w:lvl>
    <w:lvl w:ilvl="4">
      <w:start w:val="1"/>
      <w:numFmt w:val="none"/>
      <w:lvlRestart w:val="1"/>
      <w:lvlText w:val=""/>
      <w:lvlJc w:val="left"/>
      <w:pPr>
        <w:ind w:left="567" w:hanging="567"/>
      </w:pPr>
    </w:lvl>
    <w:lvl w:ilvl="5">
      <w:start w:val="1"/>
      <w:numFmt w:val="decimal"/>
      <w:lvlRestart w:val="1"/>
      <w:lvlText w:val="%1.%6"/>
      <w:lvlJc w:val="left"/>
      <w:pPr>
        <w:ind w:left="567" w:hanging="567"/>
      </w:pPr>
      <w:rPr>
        <w:sz w:val="20"/>
        <w:szCs w:val="20"/>
      </w:r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abstractNum w:abstractNumId="8" w15:restartNumberingAfterBreak="0">
    <w:nsid w:val="27594D4B"/>
    <w:multiLevelType w:val="hybridMultilevel"/>
    <w:tmpl w:val="018EFA76"/>
    <w:lvl w:ilvl="0" w:tplc="B350869C">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F6BB1"/>
    <w:multiLevelType w:val="hybridMultilevel"/>
    <w:tmpl w:val="74AA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113A9"/>
    <w:multiLevelType w:val="hybridMultilevel"/>
    <w:tmpl w:val="F2D8FF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18C013B"/>
    <w:multiLevelType w:val="hybridMultilevel"/>
    <w:tmpl w:val="46BA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B67C9"/>
    <w:multiLevelType w:val="hybridMultilevel"/>
    <w:tmpl w:val="987A1C5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455464BC"/>
    <w:multiLevelType w:val="hybridMultilevel"/>
    <w:tmpl w:val="B57C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02839"/>
    <w:multiLevelType w:val="hybridMultilevel"/>
    <w:tmpl w:val="77EC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55C6D"/>
    <w:multiLevelType w:val="multilevel"/>
    <w:tmpl w:val="2E9A3B00"/>
    <w:lvl w:ilvl="0">
      <w:start w:val="2"/>
      <w:numFmt w:val="decimal"/>
      <w:lvlText w:val="%1"/>
      <w:lvlJc w:val="left"/>
      <w:pPr>
        <w:ind w:left="410" w:hanging="410"/>
      </w:pPr>
      <w:rPr>
        <w:rFonts w:hint="default"/>
      </w:rPr>
    </w:lvl>
    <w:lvl w:ilvl="1">
      <w:start w:val="23"/>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C10359"/>
    <w:multiLevelType w:val="hybridMultilevel"/>
    <w:tmpl w:val="A7A4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965A6"/>
    <w:multiLevelType w:val="multilevel"/>
    <w:tmpl w:val="989AC420"/>
    <w:lvl w:ilvl="0">
      <w:start w:val="2"/>
      <w:numFmt w:val="decimal"/>
      <w:lvlText w:val="%1"/>
      <w:lvlJc w:val="left"/>
      <w:pPr>
        <w:ind w:left="410" w:hanging="410"/>
      </w:pPr>
      <w:rPr>
        <w:rFonts w:hint="default"/>
      </w:rPr>
    </w:lvl>
    <w:lvl w:ilvl="1">
      <w:start w:val="15"/>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EA1EC1"/>
    <w:multiLevelType w:val="hybridMultilevel"/>
    <w:tmpl w:val="9084BAF8"/>
    <w:lvl w:ilvl="0" w:tplc="B350869C">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1107E"/>
    <w:multiLevelType w:val="hybridMultilevel"/>
    <w:tmpl w:val="C354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A2EF6"/>
    <w:multiLevelType w:val="hybridMultilevel"/>
    <w:tmpl w:val="30ACA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B448A4"/>
    <w:multiLevelType w:val="hybridMultilevel"/>
    <w:tmpl w:val="135AAF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209511C"/>
    <w:multiLevelType w:val="hybridMultilevel"/>
    <w:tmpl w:val="DEA2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6797D"/>
    <w:multiLevelType w:val="hybridMultilevel"/>
    <w:tmpl w:val="F57E63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7AD134B"/>
    <w:multiLevelType w:val="hybridMultilevel"/>
    <w:tmpl w:val="B04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EA39D6"/>
    <w:multiLevelType w:val="hybridMultilevel"/>
    <w:tmpl w:val="072C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66FF1"/>
    <w:multiLevelType w:val="hybridMultilevel"/>
    <w:tmpl w:val="5F8E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3F3ECB"/>
    <w:multiLevelType w:val="hybridMultilevel"/>
    <w:tmpl w:val="870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85CC5"/>
    <w:multiLevelType w:val="hybridMultilevel"/>
    <w:tmpl w:val="7414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8B013C"/>
    <w:multiLevelType w:val="hybridMultilevel"/>
    <w:tmpl w:val="223E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C5149"/>
    <w:multiLevelType w:val="multilevel"/>
    <w:tmpl w:val="6DBE8B2A"/>
    <w:lvl w:ilvl="0">
      <w:start w:val="2"/>
      <w:numFmt w:val="decimal"/>
      <w:lvlText w:val="%1"/>
      <w:lvlJc w:val="left"/>
      <w:pPr>
        <w:ind w:left="410" w:hanging="410"/>
      </w:pPr>
      <w:rPr>
        <w:rFonts w:hint="default"/>
      </w:rPr>
    </w:lvl>
    <w:lvl w:ilvl="1">
      <w:start w:val="22"/>
      <w:numFmt w:val="decimal"/>
      <w:lvlText w:val="%1.%2"/>
      <w:lvlJc w:val="left"/>
      <w:pPr>
        <w:ind w:left="820" w:hanging="41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080" w:hanging="1800"/>
      </w:pPr>
      <w:rPr>
        <w:rFonts w:hint="default"/>
      </w:rPr>
    </w:lvl>
  </w:abstractNum>
  <w:abstractNum w:abstractNumId="31" w15:restartNumberingAfterBreak="0">
    <w:nsid w:val="76156686"/>
    <w:multiLevelType w:val="multilevel"/>
    <w:tmpl w:val="83D29B46"/>
    <w:lvl w:ilvl="0">
      <w:start w:val="1"/>
      <w:numFmt w:val="decimal"/>
      <w:pStyle w:val="Heading1"/>
      <w:lvlText w:val="%1."/>
      <w:lvlJc w:val="left"/>
      <w:pPr>
        <w:ind w:left="567" w:hanging="567"/>
      </w:pPr>
      <w:rPr>
        <w:rFonts w:hint="default"/>
      </w:rPr>
    </w:lvl>
    <w:lvl w:ilvl="1">
      <w:start w:val="1"/>
      <w:numFmt w:val="decimal"/>
      <w:pStyle w:val="Normal"/>
      <w:lvlText w:val="%1.%2."/>
      <w:lvlJc w:val="left"/>
      <w:pPr>
        <w:ind w:left="567" w:hanging="567"/>
      </w:pPr>
      <w:rPr>
        <w:rFonts w:ascii="Gill Sans MT" w:hAnsi="Gill Sans MT"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2" w15:restartNumberingAfterBreak="0">
    <w:nsid w:val="77670DB6"/>
    <w:multiLevelType w:val="hybridMultilevel"/>
    <w:tmpl w:val="48F6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0D038D"/>
    <w:multiLevelType w:val="hybridMultilevel"/>
    <w:tmpl w:val="B16E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
  </w:num>
  <w:num w:numId="4">
    <w:abstractNumId w:val="21"/>
  </w:num>
  <w:num w:numId="5">
    <w:abstractNumId w:val="14"/>
  </w:num>
  <w:num w:numId="6">
    <w:abstractNumId w:val="18"/>
  </w:num>
  <w:num w:numId="7">
    <w:abstractNumId w:val="8"/>
  </w:num>
  <w:num w:numId="8">
    <w:abstractNumId w:val="29"/>
  </w:num>
  <w:num w:numId="9">
    <w:abstractNumId w:val="11"/>
  </w:num>
  <w:num w:numId="10">
    <w:abstractNumId w:val="28"/>
  </w:num>
  <w:num w:numId="11">
    <w:abstractNumId w:val="26"/>
  </w:num>
  <w:num w:numId="12">
    <w:abstractNumId w:val="5"/>
  </w:num>
  <w:num w:numId="13">
    <w:abstractNumId w:val="13"/>
  </w:num>
  <w:num w:numId="14">
    <w:abstractNumId w:val="3"/>
  </w:num>
  <w:num w:numId="15">
    <w:abstractNumId w:val="16"/>
  </w:num>
  <w:num w:numId="16">
    <w:abstractNumId w:val="32"/>
  </w:num>
  <w:num w:numId="17">
    <w:abstractNumId w:val="4"/>
  </w:num>
  <w:num w:numId="18">
    <w:abstractNumId w:val="33"/>
  </w:num>
  <w:num w:numId="19">
    <w:abstractNumId w:val="22"/>
  </w:num>
  <w:num w:numId="20">
    <w:abstractNumId w:val="6"/>
  </w:num>
  <w:num w:numId="21">
    <w:abstractNumId w:val="31"/>
  </w:num>
  <w:num w:numId="22">
    <w:abstractNumId w:val="27"/>
  </w:num>
  <w:num w:numId="23">
    <w:abstractNumId w:val="25"/>
  </w:num>
  <w:num w:numId="24">
    <w:abstractNumId w:val="9"/>
  </w:num>
  <w:num w:numId="25">
    <w:abstractNumId w:val="12"/>
  </w:num>
  <w:num w:numId="26">
    <w:abstractNumId w:val="2"/>
  </w:num>
  <w:num w:numId="27">
    <w:abstractNumId w:val="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0"/>
  </w:num>
  <w:num w:numId="31">
    <w:abstractNumId w:val="7"/>
  </w:num>
  <w:num w:numId="32">
    <w:abstractNumId w:val="23"/>
  </w:num>
  <w:num w:numId="33">
    <w:abstractNumId w:val="17"/>
  </w:num>
  <w:num w:numId="34">
    <w:abstractNumId w:val="30"/>
  </w:num>
  <w:num w:numId="35">
    <w:abstractNumId w:val="1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2A"/>
    <w:rsid w:val="0000012B"/>
    <w:rsid w:val="00003461"/>
    <w:rsid w:val="00013D98"/>
    <w:rsid w:val="000173FB"/>
    <w:rsid w:val="000177D4"/>
    <w:rsid w:val="0002022A"/>
    <w:rsid w:val="000225E4"/>
    <w:rsid w:val="00030D18"/>
    <w:rsid w:val="00030E58"/>
    <w:rsid w:val="00032C6C"/>
    <w:rsid w:val="0003540B"/>
    <w:rsid w:val="000373ED"/>
    <w:rsid w:val="000441FF"/>
    <w:rsid w:val="00045F8A"/>
    <w:rsid w:val="00063A1B"/>
    <w:rsid w:val="00072999"/>
    <w:rsid w:val="00080709"/>
    <w:rsid w:val="00084069"/>
    <w:rsid w:val="0009104B"/>
    <w:rsid w:val="000925B6"/>
    <w:rsid w:val="00093CCA"/>
    <w:rsid w:val="00094F74"/>
    <w:rsid w:val="000A142D"/>
    <w:rsid w:val="000B0EAB"/>
    <w:rsid w:val="000B6362"/>
    <w:rsid w:val="000C09C5"/>
    <w:rsid w:val="000C17F6"/>
    <w:rsid w:val="000C18DE"/>
    <w:rsid w:val="000C2AD0"/>
    <w:rsid w:val="000D1876"/>
    <w:rsid w:val="000D3E7B"/>
    <w:rsid w:val="000D518D"/>
    <w:rsid w:val="000D5850"/>
    <w:rsid w:val="000D5DBB"/>
    <w:rsid w:val="000D62FA"/>
    <w:rsid w:val="000D669E"/>
    <w:rsid w:val="000F212A"/>
    <w:rsid w:val="000F2A8A"/>
    <w:rsid w:val="000F4AA7"/>
    <w:rsid w:val="000F4F2B"/>
    <w:rsid w:val="000F6860"/>
    <w:rsid w:val="00102850"/>
    <w:rsid w:val="0010518C"/>
    <w:rsid w:val="001058A4"/>
    <w:rsid w:val="00105FFE"/>
    <w:rsid w:val="001066CB"/>
    <w:rsid w:val="0010725D"/>
    <w:rsid w:val="00107F53"/>
    <w:rsid w:val="001108BB"/>
    <w:rsid w:val="00114812"/>
    <w:rsid w:val="001219D4"/>
    <w:rsid w:val="0012215F"/>
    <w:rsid w:val="001238BC"/>
    <w:rsid w:val="001245D1"/>
    <w:rsid w:val="001253EC"/>
    <w:rsid w:val="001257E2"/>
    <w:rsid w:val="00131218"/>
    <w:rsid w:val="00136A1E"/>
    <w:rsid w:val="00137BCF"/>
    <w:rsid w:val="001449DA"/>
    <w:rsid w:val="001453C4"/>
    <w:rsid w:val="00145D32"/>
    <w:rsid w:val="001460E0"/>
    <w:rsid w:val="001461A4"/>
    <w:rsid w:val="00147672"/>
    <w:rsid w:val="00147910"/>
    <w:rsid w:val="0015570B"/>
    <w:rsid w:val="00155B33"/>
    <w:rsid w:val="00157D6F"/>
    <w:rsid w:val="00160672"/>
    <w:rsid w:val="0016136D"/>
    <w:rsid w:val="0017054E"/>
    <w:rsid w:val="00176E7B"/>
    <w:rsid w:val="001904CC"/>
    <w:rsid w:val="001912A5"/>
    <w:rsid w:val="00192A72"/>
    <w:rsid w:val="001940D6"/>
    <w:rsid w:val="00197F0F"/>
    <w:rsid w:val="001A201D"/>
    <w:rsid w:val="001A5C70"/>
    <w:rsid w:val="001B3D7B"/>
    <w:rsid w:val="001B3E5F"/>
    <w:rsid w:val="001C3D3F"/>
    <w:rsid w:val="001C479B"/>
    <w:rsid w:val="001C727F"/>
    <w:rsid w:val="001D0B9A"/>
    <w:rsid w:val="001D3BCE"/>
    <w:rsid w:val="001D5400"/>
    <w:rsid w:val="001D5956"/>
    <w:rsid w:val="001D65C2"/>
    <w:rsid w:val="001E0111"/>
    <w:rsid w:val="001F01C2"/>
    <w:rsid w:val="001F52BC"/>
    <w:rsid w:val="001F6180"/>
    <w:rsid w:val="002024F7"/>
    <w:rsid w:val="002036CA"/>
    <w:rsid w:val="00207278"/>
    <w:rsid w:val="00210DE6"/>
    <w:rsid w:val="00212F3D"/>
    <w:rsid w:val="00217620"/>
    <w:rsid w:val="00221FDB"/>
    <w:rsid w:val="00223FE6"/>
    <w:rsid w:val="00225AE9"/>
    <w:rsid w:val="0023270C"/>
    <w:rsid w:val="0023309A"/>
    <w:rsid w:val="00240EA1"/>
    <w:rsid w:val="00247AC9"/>
    <w:rsid w:val="002515F6"/>
    <w:rsid w:val="002537BC"/>
    <w:rsid w:val="0026275E"/>
    <w:rsid w:val="00264658"/>
    <w:rsid w:val="00264B5D"/>
    <w:rsid w:val="00265D71"/>
    <w:rsid w:val="00266598"/>
    <w:rsid w:val="00271A5B"/>
    <w:rsid w:val="002747F0"/>
    <w:rsid w:val="00280643"/>
    <w:rsid w:val="00285D09"/>
    <w:rsid w:val="002860D3"/>
    <w:rsid w:val="002914CE"/>
    <w:rsid w:val="002936FB"/>
    <w:rsid w:val="002960C7"/>
    <w:rsid w:val="002A0337"/>
    <w:rsid w:val="002A0AE6"/>
    <w:rsid w:val="002A6671"/>
    <w:rsid w:val="002B0F4E"/>
    <w:rsid w:val="002B1ADA"/>
    <w:rsid w:val="002B1FA9"/>
    <w:rsid w:val="002B5920"/>
    <w:rsid w:val="002C4EC4"/>
    <w:rsid w:val="002C5FC8"/>
    <w:rsid w:val="002D5D1F"/>
    <w:rsid w:val="002E4278"/>
    <w:rsid w:val="002E5925"/>
    <w:rsid w:val="002E7679"/>
    <w:rsid w:val="002F2DB2"/>
    <w:rsid w:val="00306B23"/>
    <w:rsid w:val="00313AEE"/>
    <w:rsid w:val="00314615"/>
    <w:rsid w:val="00324941"/>
    <w:rsid w:val="00325EDB"/>
    <w:rsid w:val="00327F38"/>
    <w:rsid w:val="00332045"/>
    <w:rsid w:val="00333C05"/>
    <w:rsid w:val="00336099"/>
    <w:rsid w:val="003426CD"/>
    <w:rsid w:val="00342EF5"/>
    <w:rsid w:val="00347626"/>
    <w:rsid w:val="003501A7"/>
    <w:rsid w:val="00350D88"/>
    <w:rsid w:val="00356ADC"/>
    <w:rsid w:val="00362DA4"/>
    <w:rsid w:val="00381766"/>
    <w:rsid w:val="003853A1"/>
    <w:rsid w:val="00385BC2"/>
    <w:rsid w:val="003919A4"/>
    <w:rsid w:val="00391CDA"/>
    <w:rsid w:val="003A200A"/>
    <w:rsid w:val="003B453C"/>
    <w:rsid w:val="003B64DC"/>
    <w:rsid w:val="003C11BB"/>
    <w:rsid w:val="003C2903"/>
    <w:rsid w:val="003C7B89"/>
    <w:rsid w:val="003D48D0"/>
    <w:rsid w:val="003D5671"/>
    <w:rsid w:val="003D6A96"/>
    <w:rsid w:val="003E4F1E"/>
    <w:rsid w:val="003F464A"/>
    <w:rsid w:val="003F6832"/>
    <w:rsid w:val="00402EA7"/>
    <w:rsid w:val="00411921"/>
    <w:rsid w:val="00411A89"/>
    <w:rsid w:val="0041317F"/>
    <w:rsid w:val="0041479C"/>
    <w:rsid w:val="004207B5"/>
    <w:rsid w:val="00427D6D"/>
    <w:rsid w:val="00432FA6"/>
    <w:rsid w:val="0044065C"/>
    <w:rsid w:val="004438DF"/>
    <w:rsid w:val="0045049B"/>
    <w:rsid w:val="004564D7"/>
    <w:rsid w:val="00456B47"/>
    <w:rsid w:val="00461912"/>
    <w:rsid w:val="00470BE4"/>
    <w:rsid w:val="00472051"/>
    <w:rsid w:val="0047692C"/>
    <w:rsid w:val="004802EE"/>
    <w:rsid w:val="00480C9A"/>
    <w:rsid w:val="00487FEF"/>
    <w:rsid w:val="00490CEB"/>
    <w:rsid w:val="00496D39"/>
    <w:rsid w:val="004A5A7F"/>
    <w:rsid w:val="004A5CFF"/>
    <w:rsid w:val="004A6C9A"/>
    <w:rsid w:val="004B058E"/>
    <w:rsid w:val="004C0D83"/>
    <w:rsid w:val="004C5A92"/>
    <w:rsid w:val="004C6AED"/>
    <w:rsid w:val="004D6339"/>
    <w:rsid w:val="004E6663"/>
    <w:rsid w:val="004F1B7A"/>
    <w:rsid w:val="004F425C"/>
    <w:rsid w:val="00502EE2"/>
    <w:rsid w:val="0050316D"/>
    <w:rsid w:val="00506C71"/>
    <w:rsid w:val="005130D5"/>
    <w:rsid w:val="0052128F"/>
    <w:rsid w:val="00525614"/>
    <w:rsid w:val="00530C19"/>
    <w:rsid w:val="005320AD"/>
    <w:rsid w:val="0053610A"/>
    <w:rsid w:val="0055430E"/>
    <w:rsid w:val="00560F93"/>
    <w:rsid w:val="00577C13"/>
    <w:rsid w:val="00584ED2"/>
    <w:rsid w:val="005B2E68"/>
    <w:rsid w:val="005C0B1E"/>
    <w:rsid w:val="005C197C"/>
    <w:rsid w:val="005C2948"/>
    <w:rsid w:val="005C5BF0"/>
    <w:rsid w:val="005D5711"/>
    <w:rsid w:val="005D5FB0"/>
    <w:rsid w:val="005E3F22"/>
    <w:rsid w:val="005E4587"/>
    <w:rsid w:val="005E482C"/>
    <w:rsid w:val="005F0CEE"/>
    <w:rsid w:val="005F2C07"/>
    <w:rsid w:val="006017A4"/>
    <w:rsid w:val="00603C39"/>
    <w:rsid w:val="00604D73"/>
    <w:rsid w:val="006058EC"/>
    <w:rsid w:val="006152A0"/>
    <w:rsid w:val="0061609E"/>
    <w:rsid w:val="00617E70"/>
    <w:rsid w:val="00617F66"/>
    <w:rsid w:val="0062119A"/>
    <w:rsid w:val="006308B5"/>
    <w:rsid w:val="00632901"/>
    <w:rsid w:val="00635171"/>
    <w:rsid w:val="00641398"/>
    <w:rsid w:val="00642FFC"/>
    <w:rsid w:val="006432C4"/>
    <w:rsid w:val="0064644D"/>
    <w:rsid w:val="00646E6E"/>
    <w:rsid w:val="0066198E"/>
    <w:rsid w:val="00663F64"/>
    <w:rsid w:val="0066506D"/>
    <w:rsid w:val="00666740"/>
    <w:rsid w:val="00667D71"/>
    <w:rsid w:val="00672ED3"/>
    <w:rsid w:val="006743E9"/>
    <w:rsid w:val="0067629B"/>
    <w:rsid w:val="00676461"/>
    <w:rsid w:val="00681544"/>
    <w:rsid w:val="00686033"/>
    <w:rsid w:val="0068609A"/>
    <w:rsid w:val="0068737A"/>
    <w:rsid w:val="006904FE"/>
    <w:rsid w:val="0069249A"/>
    <w:rsid w:val="0069411F"/>
    <w:rsid w:val="0069513C"/>
    <w:rsid w:val="006951B8"/>
    <w:rsid w:val="00695AB1"/>
    <w:rsid w:val="006A0048"/>
    <w:rsid w:val="006B0A5D"/>
    <w:rsid w:val="006B4865"/>
    <w:rsid w:val="006C2168"/>
    <w:rsid w:val="006C51A4"/>
    <w:rsid w:val="006C7FA0"/>
    <w:rsid w:val="006D1AF5"/>
    <w:rsid w:val="006E1177"/>
    <w:rsid w:val="006E1F2A"/>
    <w:rsid w:val="006E4D02"/>
    <w:rsid w:val="006F0890"/>
    <w:rsid w:val="006F1FBA"/>
    <w:rsid w:val="00707A94"/>
    <w:rsid w:val="00710D2A"/>
    <w:rsid w:val="00716568"/>
    <w:rsid w:val="0072001B"/>
    <w:rsid w:val="00723633"/>
    <w:rsid w:val="007353D4"/>
    <w:rsid w:val="007354C3"/>
    <w:rsid w:val="007415AD"/>
    <w:rsid w:val="00741BB5"/>
    <w:rsid w:val="00744413"/>
    <w:rsid w:val="0074444F"/>
    <w:rsid w:val="00746C22"/>
    <w:rsid w:val="007503C6"/>
    <w:rsid w:val="0075113D"/>
    <w:rsid w:val="007559D9"/>
    <w:rsid w:val="007633C2"/>
    <w:rsid w:val="00774167"/>
    <w:rsid w:val="00775999"/>
    <w:rsid w:val="00783650"/>
    <w:rsid w:val="007B53C6"/>
    <w:rsid w:val="007B624B"/>
    <w:rsid w:val="007B62F2"/>
    <w:rsid w:val="007C2A92"/>
    <w:rsid w:val="007C2B32"/>
    <w:rsid w:val="007C6749"/>
    <w:rsid w:val="007D2E3E"/>
    <w:rsid w:val="007D5683"/>
    <w:rsid w:val="007D6AFB"/>
    <w:rsid w:val="007D7610"/>
    <w:rsid w:val="007E0ED1"/>
    <w:rsid w:val="007E4C38"/>
    <w:rsid w:val="007F10D6"/>
    <w:rsid w:val="008019CE"/>
    <w:rsid w:val="00803DFE"/>
    <w:rsid w:val="008042A7"/>
    <w:rsid w:val="00806E6F"/>
    <w:rsid w:val="00806EE6"/>
    <w:rsid w:val="00811063"/>
    <w:rsid w:val="00813AC8"/>
    <w:rsid w:val="0082215B"/>
    <w:rsid w:val="0082407F"/>
    <w:rsid w:val="00825C52"/>
    <w:rsid w:val="00825E22"/>
    <w:rsid w:val="0082623C"/>
    <w:rsid w:val="00832727"/>
    <w:rsid w:val="00842445"/>
    <w:rsid w:val="00847391"/>
    <w:rsid w:val="00852ABE"/>
    <w:rsid w:val="00852F03"/>
    <w:rsid w:val="008611C9"/>
    <w:rsid w:val="008654AC"/>
    <w:rsid w:val="00866AF4"/>
    <w:rsid w:val="008707DD"/>
    <w:rsid w:val="00871231"/>
    <w:rsid w:val="008740A3"/>
    <w:rsid w:val="008747AB"/>
    <w:rsid w:val="00876376"/>
    <w:rsid w:val="00876799"/>
    <w:rsid w:val="0087787E"/>
    <w:rsid w:val="00886529"/>
    <w:rsid w:val="0089039D"/>
    <w:rsid w:val="008911B5"/>
    <w:rsid w:val="008A053D"/>
    <w:rsid w:val="008A316C"/>
    <w:rsid w:val="008A6C0A"/>
    <w:rsid w:val="008A7BF3"/>
    <w:rsid w:val="008B0D38"/>
    <w:rsid w:val="008B31B6"/>
    <w:rsid w:val="008B7F4C"/>
    <w:rsid w:val="008C2A1F"/>
    <w:rsid w:val="008C49FC"/>
    <w:rsid w:val="008C6961"/>
    <w:rsid w:val="008C7FC9"/>
    <w:rsid w:val="008D163E"/>
    <w:rsid w:val="008D7D3A"/>
    <w:rsid w:val="008F0BBD"/>
    <w:rsid w:val="008F34E7"/>
    <w:rsid w:val="008F4237"/>
    <w:rsid w:val="008F7EF1"/>
    <w:rsid w:val="00902136"/>
    <w:rsid w:val="0090533D"/>
    <w:rsid w:val="00905E4E"/>
    <w:rsid w:val="00905EBF"/>
    <w:rsid w:val="0090695F"/>
    <w:rsid w:val="0090697F"/>
    <w:rsid w:val="00910765"/>
    <w:rsid w:val="00911A25"/>
    <w:rsid w:val="0092224B"/>
    <w:rsid w:val="00925C9A"/>
    <w:rsid w:val="0093079D"/>
    <w:rsid w:val="009317B5"/>
    <w:rsid w:val="00934B34"/>
    <w:rsid w:val="009404B6"/>
    <w:rsid w:val="009438F4"/>
    <w:rsid w:val="00944916"/>
    <w:rsid w:val="00960B71"/>
    <w:rsid w:val="00962786"/>
    <w:rsid w:val="00970CE5"/>
    <w:rsid w:val="00970D12"/>
    <w:rsid w:val="00970F87"/>
    <w:rsid w:val="009710F4"/>
    <w:rsid w:val="00977381"/>
    <w:rsid w:val="00981592"/>
    <w:rsid w:val="00983484"/>
    <w:rsid w:val="009A00E5"/>
    <w:rsid w:val="009A29DA"/>
    <w:rsid w:val="009A5A0E"/>
    <w:rsid w:val="009A6655"/>
    <w:rsid w:val="009A79EF"/>
    <w:rsid w:val="009A7DB3"/>
    <w:rsid w:val="009B091D"/>
    <w:rsid w:val="009B5CF1"/>
    <w:rsid w:val="009B6666"/>
    <w:rsid w:val="009B7596"/>
    <w:rsid w:val="009B7DE5"/>
    <w:rsid w:val="009C00A9"/>
    <w:rsid w:val="009D3ABE"/>
    <w:rsid w:val="009E05E6"/>
    <w:rsid w:val="009E764B"/>
    <w:rsid w:val="009F0309"/>
    <w:rsid w:val="009F4887"/>
    <w:rsid w:val="009F5FD4"/>
    <w:rsid w:val="00A0075F"/>
    <w:rsid w:val="00A02E2E"/>
    <w:rsid w:val="00A06377"/>
    <w:rsid w:val="00A07023"/>
    <w:rsid w:val="00A108C2"/>
    <w:rsid w:val="00A2355B"/>
    <w:rsid w:val="00A248C5"/>
    <w:rsid w:val="00A31BAE"/>
    <w:rsid w:val="00A3536F"/>
    <w:rsid w:val="00A35502"/>
    <w:rsid w:val="00A35DFD"/>
    <w:rsid w:val="00A42EF5"/>
    <w:rsid w:val="00A50F72"/>
    <w:rsid w:val="00A5118D"/>
    <w:rsid w:val="00A54CC3"/>
    <w:rsid w:val="00A62058"/>
    <w:rsid w:val="00A627F2"/>
    <w:rsid w:val="00A664B0"/>
    <w:rsid w:val="00A73833"/>
    <w:rsid w:val="00A73A61"/>
    <w:rsid w:val="00A75F48"/>
    <w:rsid w:val="00A85320"/>
    <w:rsid w:val="00A94146"/>
    <w:rsid w:val="00AB76E2"/>
    <w:rsid w:val="00AC6038"/>
    <w:rsid w:val="00AD5CFF"/>
    <w:rsid w:val="00AE0E84"/>
    <w:rsid w:val="00AE2212"/>
    <w:rsid w:val="00AE4A1F"/>
    <w:rsid w:val="00AF1864"/>
    <w:rsid w:val="00AF4F89"/>
    <w:rsid w:val="00B00628"/>
    <w:rsid w:val="00B02BE9"/>
    <w:rsid w:val="00B07AD1"/>
    <w:rsid w:val="00B11EF0"/>
    <w:rsid w:val="00B1492C"/>
    <w:rsid w:val="00B14F9B"/>
    <w:rsid w:val="00B15196"/>
    <w:rsid w:val="00B158EF"/>
    <w:rsid w:val="00B235AF"/>
    <w:rsid w:val="00B276FF"/>
    <w:rsid w:val="00B332E0"/>
    <w:rsid w:val="00B35C60"/>
    <w:rsid w:val="00B36456"/>
    <w:rsid w:val="00B4182C"/>
    <w:rsid w:val="00B446F9"/>
    <w:rsid w:val="00B51ACC"/>
    <w:rsid w:val="00B522D3"/>
    <w:rsid w:val="00B5554F"/>
    <w:rsid w:val="00B6083E"/>
    <w:rsid w:val="00B60EEE"/>
    <w:rsid w:val="00B6681B"/>
    <w:rsid w:val="00B847FD"/>
    <w:rsid w:val="00B904ED"/>
    <w:rsid w:val="00B919DD"/>
    <w:rsid w:val="00BA0F43"/>
    <w:rsid w:val="00BA3E11"/>
    <w:rsid w:val="00BB033E"/>
    <w:rsid w:val="00BB15B3"/>
    <w:rsid w:val="00BB7B4E"/>
    <w:rsid w:val="00BC1156"/>
    <w:rsid w:val="00BC29AF"/>
    <w:rsid w:val="00BC3BC8"/>
    <w:rsid w:val="00BD4271"/>
    <w:rsid w:val="00BD4FAC"/>
    <w:rsid w:val="00BD52D8"/>
    <w:rsid w:val="00BE141C"/>
    <w:rsid w:val="00BE42AB"/>
    <w:rsid w:val="00BE4B5B"/>
    <w:rsid w:val="00BE6188"/>
    <w:rsid w:val="00BE65BD"/>
    <w:rsid w:val="00BF1063"/>
    <w:rsid w:val="00BF1D89"/>
    <w:rsid w:val="00BF3542"/>
    <w:rsid w:val="00C053BA"/>
    <w:rsid w:val="00C06759"/>
    <w:rsid w:val="00C11926"/>
    <w:rsid w:val="00C124DB"/>
    <w:rsid w:val="00C14EC5"/>
    <w:rsid w:val="00C214AA"/>
    <w:rsid w:val="00C23676"/>
    <w:rsid w:val="00C30A32"/>
    <w:rsid w:val="00C31FD5"/>
    <w:rsid w:val="00C44B92"/>
    <w:rsid w:val="00C52B30"/>
    <w:rsid w:val="00C53AAA"/>
    <w:rsid w:val="00C53D0A"/>
    <w:rsid w:val="00C604A0"/>
    <w:rsid w:val="00C630D4"/>
    <w:rsid w:val="00C63AED"/>
    <w:rsid w:val="00C75576"/>
    <w:rsid w:val="00C770F5"/>
    <w:rsid w:val="00C81AFA"/>
    <w:rsid w:val="00C82049"/>
    <w:rsid w:val="00C82803"/>
    <w:rsid w:val="00C83166"/>
    <w:rsid w:val="00CA3876"/>
    <w:rsid w:val="00CA39BA"/>
    <w:rsid w:val="00CA6197"/>
    <w:rsid w:val="00CC042D"/>
    <w:rsid w:val="00CC1CCA"/>
    <w:rsid w:val="00CC22A7"/>
    <w:rsid w:val="00CC3A67"/>
    <w:rsid w:val="00CC428B"/>
    <w:rsid w:val="00CD03E1"/>
    <w:rsid w:val="00CD0FD1"/>
    <w:rsid w:val="00CD16D0"/>
    <w:rsid w:val="00CD60A7"/>
    <w:rsid w:val="00CD661A"/>
    <w:rsid w:val="00CD6ED0"/>
    <w:rsid w:val="00CE6EB7"/>
    <w:rsid w:val="00CE7329"/>
    <w:rsid w:val="00CE7FA9"/>
    <w:rsid w:val="00CF162E"/>
    <w:rsid w:val="00CF2832"/>
    <w:rsid w:val="00CF3B9E"/>
    <w:rsid w:val="00CF4E2A"/>
    <w:rsid w:val="00CF72BA"/>
    <w:rsid w:val="00D01859"/>
    <w:rsid w:val="00D028BE"/>
    <w:rsid w:val="00D06188"/>
    <w:rsid w:val="00D07D07"/>
    <w:rsid w:val="00D10CC7"/>
    <w:rsid w:val="00D11A00"/>
    <w:rsid w:val="00D14057"/>
    <w:rsid w:val="00D211F6"/>
    <w:rsid w:val="00D354A5"/>
    <w:rsid w:val="00D36093"/>
    <w:rsid w:val="00D43042"/>
    <w:rsid w:val="00D56C1D"/>
    <w:rsid w:val="00D648B5"/>
    <w:rsid w:val="00D7666B"/>
    <w:rsid w:val="00D774C5"/>
    <w:rsid w:val="00D86019"/>
    <w:rsid w:val="00D9405B"/>
    <w:rsid w:val="00DA0B46"/>
    <w:rsid w:val="00DA355F"/>
    <w:rsid w:val="00DA4566"/>
    <w:rsid w:val="00DB635E"/>
    <w:rsid w:val="00DC16E3"/>
    <w:rsid w:val="00DC4DC7"/>
    <w:rsid w:val="00DC5A1B"/>
    <w:rsid w:val="00DD072B"/>
    <w:rsid w:val="00DD084E"/>
    <w:rsid w:val="00DD30C5"/>
    <w:rsid w:val="00DD700A"/>
    <w:rsid w:val="00DE6D65"/>
    <w:rsid w:val="00DE6DDA"/>
    <w:rsid w:val="00DE70AB"/>
    <w:rsid w:val="00DE77CA"/>
    <w:rsid w:val="00DF1629"/>
    <w:rsid w:val="00E03FAA"/>
    <w:rsid w:val="00E041BB"/>
    <w:rsid w:val="00E074EA"/>
    <w:rsid w:val="00E076DB"/>
    <w:rsid w:val="00E25A95"/>
    <w:rsid w:val="00E3501D"/>
    <w:rsid w:val="00E420D4"/>
    <w:rsid w:val="00E446C8"/>
    <w:rsid w:val="00E536FC"/>
    <w:rsid w:val="00E55265"/>
    <w:rsid w:val="00E60829"/>
    <w:rsid w:val="00E633F6"/>
    <w:rsid w:val="00E63666"/>
    <w:rsid w:val="00E651AF"/>
    <w:rsid w:val="00E65B5A"/>
    <w:rsid w:val="00E718A4"/>
    <w:rsid w:val="00E7681B"/>
    <w:rsid w:val="00E770B0"/>
    <w:rsid w:val="00E81018"/>
    <w:rsid w:val="00E8254D"/>
    <w:rsid w:val="00E83C37"/>
    <w:rsid w:val="00E840A7"/>
    <w:rsid w:val="00E91360"/>
    <w:rsid w:val="00E92818"/>
    <w:rsid w:val="00E9300D"/>
    <w:rsid w:val="00E93CB5"/>
    <w:rsid w:val="00E942D2"/>
    <w:rsid w:val="00EA1AB2"/>
    <w:rsid w:val="00EA1D07"/>
    <w:rsid w:val="00EA3890"/>
    <w:rsid w:val="00EA3A0B"/>
    <w:rsid w:val="00EA4CDD"/>
    <w:rsid w:val="00EA568A"/>
    <w:rsid w:val="00EA79C3"/>
    <w:rsid w:val="00EB009B"/>
    <w:rsid w:val="00EB298F"/>
    <w:rsid w:val="00EC10D6"/>
    <w:rsid w:val="00EC3ABE"/>
    <w:rsid w:val="00ED0A1B"/>
    <w:rsid w:val="00ED0D42"/>
    <w:rsid w:val="00ED4804"/>
    <w:rsid w:val="00EE2316"/>
    <w:rsid w:val="00EE4E8F"/>
    <w:rsid w:val="00F00D80"/>
    <w:rsid w:val="00F046B8"/>
    <w:rsid w:val="00F06845"/>
    <w:rsid w:val="00F10D4E"/>
    <w:rsid w:val="00F16AA8"/>
    <w:rsid w:val="00F202EF"/>
    <w:rsid w:val="00F25F18"/>
    <w:rsid w:val="00F25F85"/>
    <w:rsid w:val="00F2791B"/>
    <w:rsid w:val="00F30B77"/>
    <w:rsid w:val="00F34FE7"/>
    <w:rsid w:val="00F47D5A"/>
    <w:rsid w:val="00F526BA"/>
    <w:rsid w:val="00F55CB2"/>
    <w:rsid w:val="00F55D7F"/>
    <w:rsid w:val="00F55F25"/>
    <w:rsid w:val="00F57061"/>
    <w:rsid w:val="00F572BC"/>
    <w:rsid w:val="00F57BD7"/>
    <w:rsid w:val="00F65D47"/>
    <w:rsid w:val="00F672AE"/>
    <w:rsid w:val="00F719A6"/>
    <w:rsid w:val="00F77CFF"/>
    <w:rsid w:val="00F8406B"/>
    <w:rsid w:val="00F86921"/>
    <w:rsid w:val="00F954E4"/>
    <w:rsid w:val="00F96897"/>
    <w:rsid w:val="00F97AFB"/>
    <w:rsid w:val="00FA2D76"/>
    <w:rsid w:val="00FA592C"/>
    <w:rsid w:val="00FA5AE3"/>
    <w:rsid w:val="00FB0DBB"/>
    <w:rsid w:val="00FB4647"/>
    <w:rsid w:val="00FC516C"/>
    <w:rsid w:val="00FC77EC"/>
    <w:rsid w:val="00FD3AEC"/>
    <w:rsid w:val="00FE1EEA"/>
    <w:rsid w:val="00FE327E"/>
    <w:rsid w:val="00FE5308"/>
    <w:rsid w:val="00FF2E4C"/>
    <w:rsid w:val="00FF393B"/>
    <w:rsid w:val="00FF6851"/>
    <w:rsid w:val="00FF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03CD0"/>
  <w15:chartTrackingRefBased/>
  <w15:docId w15:val="{63DFBE83-D202-45F9-BFE3-40897549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019"/>
    <w:pPr>
      <w:numPr>
        <w:ilvl w:val="1"/>
        <w:numId w:val="21"/>
      </w:numPr>
    </w:pPr>
    <w:rPr>
      <w:rFonts w:ascii="Gill Sans MT" w:hAnsi="Gill Sans MT"/>
    </w:rPr>
  </w:style>
  <w:style w:type="paragraph" w:styleId="Heading1">
    <w:name w:val="heading 1"/>
    <w:aliases w:val="Savell Bird..,Section Heading,Chapter,Oscar Faber 1,Number 1,Numbered 1,Heading,Chapter head,L1,CH,. (1.0),Do Not Use,Heading 1 - chapter,H1,H11,H12,TITLE 1,ADVICE 1,h1,Headline 1,Section,Section 1,Oscar Faber 1 Char,g,H,RSKH1,§,SHTP heading"/>
    <w:basedOn w:val="Normal"/>
    <w:next w:val="Normal"/>
    <w:link w:val="Heading1Char"/>
    <w:uiPriority w:val="9"/>
    <w:qFormat/>
    <w:rsid w:val="00325EDB"/>
    <w:pPr>
      <w:keepNext/>
      <w:keepLines/>
      <w:numPr>
        <w:ilvl w:val="0"/>
      </w:numPr>
      <w:spacing w:before="240" w:after="240"/>
      <w:outlineLvl w:val="0"/>
    </w:pPr>
    <w:rPr>
      <w:rFonts w:eastAsiaTheme="majorEastAsia" w:cstheme="majorBidi"/>
      <w:b/>
      <w:color w:val="28A191"/>
      <w:sz w:val="32"/>
      <w:szCs w:val="32"/>
    </w:rPr>
  </w:style>
  <w:style w:type="paragraph" w:styleId="Heading2">
    <w:name w:val="heading 2"/>
    <w:aliases w:val="Numbered Para (main),Char,Heading 2 Char Char Char,Heading 2 Char Char,Subsection,Section Sub-Heading,Paragraph,Para Nos,Sub Heading,Numbered - 2,ignorer2,Oscar Faber 2,Paragraph1,Main Heading,Main Headi,Outline2,RR level 2,PT Heading 2,Sectio"/>
    <w:basedOn w:val="Normal"/>
    <w:next w:val="Normal"/>
    <w:link w:val="Heading2Char"/>
    <w:uiPriority w:val="9"/>
    <w:unhideWhenUsed/>
    <w:qFormat/>
    <w:rsid w:val="00470BE4"/>
    <w:pPr>
      <w:keepNext/>
      <w:keepLines/>
      <w:numPr>
        <w:ilvl w:val="0"/>
        <w:numId w:val="0"/>
      </w:numPr>
      <w:spacing w:before="240" w:after="240"/>
      <w:outlineLvl w:val="1"/>
    </w:pPr>
    <w:rPr>
      <w:rFonts w:eastAsiaTheme="majorEastAsia" w:cstheme="majorBidi"/>
      <w:color w:val="2E74B5" w:themeColor="accent1" w:themeShade="BF"/>
      <w:sz w:val="26"/>
      <w:szCs w:val="26"/>
    </w:rPr>
  </w:style>
  <w:style w:type="paragraph" w:styleId="Heading3">
    <w:name w:val="heading 3"/>
    <w:aliases w:val="Heading 3 (i),normal,L3,PT Heading 3,Heading 3 Char Char,Section SubHeading,Report sub head,SBH,rb,. (1.1.1),Letter Level 2,(Normal),Heading 3 - section subheading,bold italic,Heading 3 Char1 Char,Heading 3 Char1 Char Char Char,Heading 3 (i)1"/>
    <w:basedOn w:val="Normal"/>
    <w:next w:val="Normal"/>
    <w:link w:val="Heading3Char"/>
    <w:uiPriority w:val="9"/>
    <w:unhideWhenUsed/>
    <w:qFormat/>
    <w:rsid w:val="00CF162E"/>
    <w:pPr>
      <w:keepNext/>
      <w:keepLines/>
      <w:numPr>
        <w:ilvl w:val="0"/>
        <w:numId w:val="0"/>
      </w:numPr>
      <w:spacing w:before="40" w:after="240"/>
      <w:outlineLvl w:val="2"/>
    </w:pPr>
    <w:rPr>
      <w:rFonts w:eastAsiaTheme="majorEastAsia" w:cstheme="majorBidi"/>
      <w:color w:val="1F4D78" w:themeColor="accent1" w:themeShade="7F"/>
      <w:szCs w:val="24"/>
    </w:rPr>
  </w:style>
  <w:style w:type="paragraph" w:styleId="Heading4">
    <w:name w:val="heading 4"/>
    <w:aliases w:val="BW H4 Report"/>
    <w:basedOn w:val="Normal"/>
    <w:next w:val="Normal"/>
    <w:link w:val="Heading4Char"/>
    <w:uiPriority w:val="9"/>
    <w:unhideWhenUsed/>
    <w:qFormat/>
    <w:rsid w:val="00D86019"/>
    <w:pPr>
      <w:keepNext/>
      <w:keepLines/>
      <w:numPr>
        <w:ilvl w:val="0"/>
        <w:numId w:val="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50F7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F4E2A"/>
    <w:pPr>
      <w:numPr>
        <w:ilvl w:val="0"/>
        <w:numId w:val="0"/>
      </w:numPr>
      <w:spacing w:after="0" w:line="240" w:lineRule="auto"/>
      <w:contextualSpacing/>
      <w:jc w:val="center"/>
    </w:pPr>
    <w:rPr>
      <w:rFonts w:asciiTheme="majorHAnsi" w:eastAsiaTheme="majorEastAsia" w:hAnsiTheme="majorHAnsi" w:cstheme="majorBidi"/>
      <w:b/>
      <w:color w:val="28A191"/>
      <w:spacing w:val="-10"/>
      <w:kern w:val="28"/>
      <w:sz w:val="56"/>
      <w:szCs w:val="56"/>
    </w:rPr>
  </w:style>
  <w:style w:type="character" w:customStyle="1" w:styleId="TitleChar">
    <w:name w:val="Title Char"/>
    <w:basedOn w:val="DefaultParagraphFont"/>
    <w:link w:val="Title"/>
    <w:rsid w:val="00CF4E2A"/>
    <w:rPr>
      <w:rFonts w:asciiTheme="majorHAnsi" w:eastAsiaTheme="majorEastAsia" w:hAnsiTheme="majorHAnsi" w:cstheme="majorBidi"/>
      <w:b/>
      <w:color w:val="28A191"/>
      <w:spacing w:val="-10"/>
      <w:kern w:val="28"/>
      <w:sz w:val="56"/>
      <w:szCs w:val="56"/>
    </w:rPr>
  </w:style>
  <w:style w:type="paragraph" w:styleId="ListParagraph">
    <w:name w:val="List Paragraph"/>
    <w:basedOn w:val="Normal"/>
    <w:uiPriority w:val="34"/>
    <w:qFormat/>
    <w:rsid w:val="00CF4E2A"/>
    <w:pPr>
      <w:numPr>
        <w:ilvl w:val="0"/>
        <w:numId w:val="0"/>
      </w:numPr>
      <w:ind w:left="720"/>
      <w:contextualSpacing/>
    </w:pPr>
  </w:style>
  <w:style w:type="character" w:customStyle="1" w:styleId="Heading4Char">
    <w:name w:val="Heading 4 Char"/>
    <w:aliases w:val="BW H4 Report Char"/>
    <w:basedOn w:val="DefaultParagraphFont"/>
    <w:link w:val="Heading4"/>
    <w:uiPriority w:val="9"/>
    <w:rsid w:val="00D86019"/>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D86019"/>
    <w:rPr>
      <w:sz w:val="16"/>
      <w:szCs w:val="16"/>
    </w:rPr>
  </w:style>
  <w:style w:type="paragraph" w:styleId="CommentText">
    <w:name w:val="annotation text"/>
    <w:basedOn w:val="Normal"/>
    <w:link w:val="CommentTextChar"/>
    <w:uiPriority w:val="99"/>
    <w:unhideWhenUsed/>
    <w:rsid w:val="00D86019"/>
    <w:pPr>
      <w:numPr>
        <w:ilvl w:val="0"/>
        <w:numId w:val="0"/>
      </w:numPr>
      <w:spacing w:line="240" w:lineRule="auto"/>
    </w:pPr>
    <w:rPr>
      <w:sz w:val="20"/>
      <w:szCs w:val="20"/>
    </w:rPr>
  </w:style>
  <w:style w:type="character" w:customStyle="1" w:styleId="CommentTextChar">
    <w:name w:val="Comment Text Char"/>
    <w:basedOn w:val="DefaultParagraphFont"/>
    <w:link w:val="CommentText"/>
    <w:uiPriority w:val="99"/>
    <w:rsid w:val="00D86019"/>
    <w:rPr>
      <w:sz w:val="20"/>
      <w:szCs w:val="20"/>
    </w:rPr>
  </w:style>
  <w:style w:type="paragraph" w:styleId="BalloonText">
    <w:name w:val="Balloon Text"/>
    <w:basedOn w:val="Normal"/>
    <w:link w:val="BalloonTextChar"/>
    <w:uiPriority w:val="99"/>
    <w:semiHidden/>
    <w:unhideWhenUsed/>
    <w:rsid w:val="00D86019"/>
    <w:pPr>
      <w:numPr>
        <w:ilvl w:val="0"/>
        <w:numId w:val="0"/>
      </w:num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019"/>
    <w:rPr>
      <w:rFonts w:ascii="Segoe UI" w:hAnsi="Segoe UI" w:cs="Segoe UI"/>
      <w:sz w:val="18"/>
      <w:szCs w:val="18"/>
    </w:rPr>
  </w:style>
  <w:style w:type="character" w:customStyle="1" w:styleId="Heading1Char">
    <w:name w:val="Heading 1 Char"/>
    <w:aliases w:val="Savell Bird.. Char,Section Heading Char,Chapter Char,Oscar Faber 1 Char1,Number 1 Char,Numbered 1 Char,Heading Char,Chapter head Char,L1 Char,CH Char,. (1.0) Char,Do Not Use Char,Heading 1 - chapter Char,H1 Char,H11 Char,H12 Char,h1 Char"/>
    <w:basedOn w:val="DefaultParagraphFont"/>
    <w:link w:val="Heading1"/>
    <w:uiPriority w:val="9"/>
    <w:rsid w:val="00325EDB"/>
    <w:rPr>
      <w:rFonts w:ascii="Gill Sans MT" w:eastAsiaTheme="majorEastAsia" w:hAnsi="Gill Sans MT" w:cstheme="majorBidi"/>
      <w:b/>
      <w:color w:val="28A191"/>
      <w:sz w:val="32"/>
      <w:szCs w:val="32"/>
    </w:rPr>
  </w:style>
  <w:style w:type="character" w:customStyle="1" w:styleId="Heading2Char">
    <w:name w:val="Heading 2 Char"/>
    <w:aliases w:val="Numbered Para (main) Char,Char Char,Heading 2 Char Char Char Char,Heading 2 Char Char Char1,Subsection Char,Section Sub-Heading Char,Paragraph Char,Para Nos Char,Sub Heading Char,Numbered - 2 Char,ignorer2 Char,Oscar Faber 2 Char"/>
    <w:basedOn w:val="DefaultParagraphFont"/>
    <w:link w:val="Heading2"/>
    <w:uiPriority w:val="9"/>
    <w:rsid w:val="00470BE4"/>
    <w:rPr>
      <w:rFonts w:ascii="Gill Sans MT" w:eastAsiaTheme="majorEastAsia" w:hAnsi="Gill Sans MT" w:cstheme="majorBidi"/>
      <w:color w:val="2E74B5" w:themeColor="accent1" w:themeShade="BF"/>
      <w:sz w:val="26"/>
      <w:szCs w:val="26"/>
    </w:rPr>
  </w:style>
  <w:style w:type="paragraph" w:styleId="FootnoteText">
    <w:name w:val="footnote text"/>
    <w:basedOn w:val="Normal"/>
    <w:link w:val="FootnoteTextChar"/>
    <w:uiPriority w:val="99"/>
    <w:semiHidden/>
    <w:unhideWhenUsed/>
    <w:rsid w:val="00336099"/>
    <w:pPr>
      <w:numPr>
        <w:ilvl w:val="0"/>
        <w:numId w:val="0"/>
      </w:num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099"/>
    <w:rPr>
      <w:rFonts w:ascii="Gill Sans MT" w:hAnsi="Gill Sans MT"/>
      <w:sz w:val="20"/>
      <w:szCs w:val="20"/>
    </w:rPr>
  </w:style>
  <w:style w:type="character" w:styleId="FootnoteReference">
    <w:name w:val="footnote reference"/>
    <w:basedOn w:val="DefaultParagraphFont"/>
    <w:uiPriority w:val="99"/>
    <w:semiHidden/>
    <w:unhideWhenUsed/>
    <w:rsid w:val="00336099"/>
    <w:rPr>
      <w:vertAlign w:val="superscript"/>
    </w:rPr>
  </w:style>
  <w:style w:type="table" w:styleId="TableGrid">
    <w:name w:val="Table Grid"/>
    <w:basedOn w:val="TableNormal"/>
    <w:uiPriority w:val="59"/>
    <w:rsid w:val="00C5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6083E"/>
    <w:rPr>
      <w:b/>
      <w:bCs/>
    </w:rPr>
  </w:style>
  <w:style w:type="character" w:customStyle="1" w:styleId="CommentSubjectChar">
    <w:name w:val="Comment Subject Char"/>
    <w:basedOn w:val="CommentTextChar"/>
    <w:link w:val="CommentSubject"/>
    <w:uiPriority w:val="99"/>
    <w:semiHidden/>
    <w:rsid w:val="00B6083E"/>
    <w:rPr>
      <w:rFonts w:ascii="Gill Sans MT" w:hAnsi="Gill Sans MT"/>
      <w:b/>
      <w:bCs/>
      <w:sz w:val="20"/>
      <w:szCs w:val="20"/>
    </w:rPr>
  </w:style>
  <w:style w:type="paragraph" w:styleId="Caption">
    <w:name w:val="caption"/>
    <w:basedOn w:val="Normal"/>
    <w:next w:val="Normal"/>
    <w:uiPriority w:val="35"/>
    <w:unhideWhenUsed/>
    <w:qFormat/>
    <w:rsid w:val="00AE2212"/>
    <w:pPr>
      <w:numPr>
        <w:ilvl w:val="0"/>
        <w:numId w:val="0"/>
      </w:numPr>
      <w:spacing w:after="200" w:line="240" w:lineRule="auto"/>
    </w:pPr>
    <w:rPr>
      <w:i/>
      <w:iCs/>
      <w:color w:val="44546A" w:themeColor="text2"/>
      <w:sz w:val="18"/>
      <w:szCs w:val="18"/>
    </w:rPr>
  </w:style>
  <w:style w:type="character" w:customStyle="1" w:styleId="Heading3Char">
    <w:name w:val="Heading 3 Char"/>
    <w:aliases w:val="Heading 3 (i) Char,normal Char,L3 Char,PT Heading 3 Char,Heading 3 Char Char Char,Section SubHeading Char,Report sub head Char,SBH Char,rb Char,. (1.1.1) Char,Letter Level 2 Char,(Normal) Char,Heading 3 - section subheading Char"/>
    <w:basedOn w:val="DefaultParagraphFont"/>
    <w:link w:val="Heading3"/>
    <w:uiPriority w:val="9"/>
    <w:rsid w:val="00CF162E"/>
    <w:rPr>
      <w:rFonts w:ascii="Gill Sans MT" w:eastAsiaTheme="majorEastAsia" w:hAnsi="Gill Sans MT" w:cstheme="majorBidi"/>
      <w:color w:val="1F4D78" w:themeColor="accent1" w:themeShade="7F"/>
      <w:szCs w:val="24"/>
    </w:rPr>
  </w:style>
  <w:style w:type="paragraph" w:styleId="Header">
    <w:name w:val="header"/>
    <w:basedOn w:val="Normal"/>
    <w:link w:val="HeaderChar"/>
    <w:uiPriority w:val="99"/>
    <w:unhideWhenUsed/>
    <w:rsid w:val="003F464A"/>
    <w:pPr>
      <w:numPr>
        <w:ilvl w:val="0"/>
        <w:numId w:val="0"/>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3F464A"/>
    <w:rPr>
      <w:rFonts w:ascii="Gill Sans MT" w:hAnsi="Gill Sans MT"/>
    </w:rPr>
  </w:style>
  <w:style w:type="paragraph" w:styleId="Footer">
    <w:name w:val="footer"/>
    <w:basedOn w:val="Normal"/>
    <w:link w:val="FooterChar"/>
    <w:uiPriority w:val="99"/>
    <w:unhideWhenUsed/>
    <w:rsid w:val="003F464A"/>
    <w:pPr>
      <w:numPr>
        <w:ilvl w:val="0"/>
        <w:numId w:val="0"/>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3F464A"/>
    <w:rPr>
      <w:rFonts w:ascii="Gill Sans MT" w:hAnsi="Gill Sans MT"/>
    </w:rPr>
  </w:style>
  <w:style w:type="character" w:styleId="Hyperlink">
    <w:name w:val="Hyperlink"/>
    <w:basedOn w:val="DefaultParagraphFont"/>
    <w:uiPriority w:val="99"/>
    <w:unhideWhenUsed/>
    <w:rsid w:val="00A3536F"/>
    <w:rPr>
      <w:color w:val="0000FF"/>
      <w:u w:val="single"/>
    </w:rPr>
  </w:style>
  <w:style w:type="paragraph" w:styleId="Revision">
    <w:name w:val="Revision"/>
    <w:hidden/>
    <w:uiPriority w:val="99"/>
    <w:semiHidden/>
    <w:rsid w:val="0050316D"/>
    <w:pPr>
      <w:spacing w:after="0" w:line="240" w:lineRule="auto"/>
    </w:pPr>
    <w:rPr>
      <w:rFonts w:ascii="Gill Sans MT" w:hAnsi="Gill Sans MT"/>
    </w:rPr>
  </w:style>
  <w:style w:type="character" w:customStyle="1" w:styleId="Heading5Char">
    <w:name w:val="Heading 5 Char"/>
    <w:basedOn w:val="DefaultParagraphFont"/>
    <w:link w:val="Heading5"/>
    <w:uiPriority w:val="9"/>
    <w:rsid w:val="00A50F72"/>
    <w:rPr>
      <w:rFonts w:asciiTheme="majorHAnsi" w:eastAsiaTheme="majorEastAsia" w:hAnsiTheme="majorHAnsi" w:cstheme="majorBidi"/>
      <w:color w:val="2E74B5" w:themeColor="accent1" w:themeShade="BF"/>
    </w:rPr>
  </w:style>
  <w:style w:type="paragraph" w:customStyle="1" w:styleId="BodyText1">
    <w:name w:val="Body Text1"/>
    <w:basedOn w:val="Normal"/>
    <w:link w:val="BodytextChar"/>
    <w:qFormat/>
    <w:rsid w:val="009438F4"/>
    <w:pPr>
      <w:numPr>
        <w:ilvl w:val="0"/>
        <w:numId w:val="0"/>
      </w:numPr>
      <w:spacing w:after="240" w:line="360" w:lineRule="auto"/>
      <w:ind w:left="567" w:hanging="567"/>
      <w:jc w:val="both"/>
    </w:pPr>
    <w:rPr>
      <w:rFonts w:ascii="Century Gothic" w:eastAsia="MS Mincho" w:hAnsi="Century Gothic" w:cs="Lucida Grande"/>
      <w:sz w:val="20"/>
      <w:szCs w:val="20"/>
    </w:rPr>
  </w:style>
  <w:style w:type="character" w:customStyle="1" w:styleId="BodytextChar">
    <w:name w:val="Body text Char"/>
    <w:basedOn w:val="DefaultParagraphFont"/>
    <w:link w:val="BodyText1"/>
    <w:locked/>
    <w:rsid w:val="009438F4"/>
    <w:rPr>
      <w:rFonts w:ascii="Century Gothic" w:eastAsia="MS Mincho" w:hAnsi="Century Gothic" w:cs="Lucida Grand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91456">
      <w:bodyDiv w:val="1"/>
      <w:marLeft w:val="0"/>
      <w:marRight w:val="0"/>
      <w:marTop w:val="0"/>
      <w:marBottom w:val="0"/>
      <w:divBdr>
        <w:top w:val="none" w:sz="0" w:space="0" w:color="auto"/>
        <w:left w:val="none" w:sz="0" w:space="0" w:color="auto"/>
        <w:bottom w:val="none" w:sz="0" w:space="0" w:color="auto"/>
        <w:right w:val="none" w:sz="0" w:space="0" w:color="auto"/>
      </w:divBdr>
    </w:div>
    <w:div w:id="647587633">
      <w:bodyDiv w:val="1"/>
      <w:marLeft w:val="0"/>
      <w:marRight w:val="0"/>
      <w:marTop w:val="0"/>
      <w:marBottom w:val="0"/>
      <w:divBdr>
        <w:top w:val="none" w:sz="0" w:space="0" w:color="auto"/>
        <w:left w:val="none" w:sz="0" w:space="0" w:color="auto"/>
        <w:bottom w:val="none" w:sz="0" w:space="0" w:color="auto"/>
        <w:right w:val="none" w:sz="0" w:space="0" w:color="auto"/>
      </w:divBdr>
    </w:div>
    <w:div w:id="665934727">
      <w:bodyDiv w:val="1"/>
      <w:marLeft w:val="0"/>
      <w:marRight w:val="0"/>
      <w:marTop w:val="0"/>
      <w:marBottom w:val="0"/>
      <w:divBdr>
        <w:top w:val="none" w:sz="0" w:space="0" w:color="auto"/>
        <w:left w:val="none" w:sz="0" w:space="0" w:color="auto"/>
        <w:bottom w:val="none" w:sz="0" w:space="0" w:color="auto"/>
        <w:right w:val="none" w:sz="0" w:space="0" w:color="auto"/>
      </w:divBdr>
    </w:div>
    <w:div w:id="666787273">
      <w:bodyDiv w:val="1"/>
      <w:marLeft w:val="0"/>
      <w:marRight w:val="0"/>
      <w:marTop w:val="0"/>
      <w:marBottom w:val="0"/>
      <w:divBdr>
        <w:top w:val="none" w:sz="0" w:space="0" w:color="auto"/>
        <w:left w:val="none" w:sz="0" w:space="0" w:color="auto"/>
        <w:bottom w:val="none" w:sz="0" w:space="0" w:color="auto"/>
        <w:right w:val="none" w:sz="0" w:space="0" w:color="auto"/>
      </w:divBdr>
    </w:div>
    <w:div w:id="671834916">
      <w:bodyDiv w:val="1"/>
      <w:marLeft w:val="0"/>
      <w:marRight w:val="0"/>
      <w:marTop w:val="0"/>
      <w:marBottom w:val="0"/>
      <w:divBdr>
        <w:top w:val="none" w:sz="0" w:space="0" w:color="auto"/>
        <w:left w:val="none" w:sz="0" w:space="0" w:color="auto"/>
        <w:bottom w:val="none" w:sz="0" w:space="0" w:color="auto"/>
        <w:right w:val="none" w:sz="0" w:space="0" w:color="auto"/>
      </w:divBdr>
    </w:div>
    <w:div w:id="1433014043">
      <w:bodyDiv w:val="1"/>
      <w:marLeft w:val="0"/>
      <w:marRight w:val="0"/>
      <w:marTop w:val="0"/>
      <w:marBottom w:val="0"/>
      <w:divBdr>
        <w:top w:val="none" w:sz="0" w:space="0" w:color="auto"/>
        <w:left w:val="none" w:sz="0" w:space="0" w:color="auto"/>
        <w:bottom w:val="none" w:sz="0" w:space="0" w:color="auto"/>
        <w:right w:val="none" w:sz="0" w:space="0" w:color="auto"/>
      </w:divBdr>
    </w:div>
    <w:div w:id="1549995624">
      <w:bodyDiv w:val="1"/>
      <w:marLeft w:val="0"/>
      <w:marRight w:val="0"/>
      <w:marTop w:val="0"/>
      <w:marBottom w:val="0"/>
      <w:divBdr>
        <w:top w:val="none" w:sz="0" w:space="0" w:color="auto"/>
        <w:left w:val="none" w:sz="0" w:space="0" w:color="auto"/>
        <w:bottom w:val="none" w:sz="0" w:space="0" w:color="auto"/>
        <w:right w:val="none" w:sz="0" w:space="0" w:color="auto"/>
      </w:divBdr>
    </w:div>
    <w:div w:id="1706910061">
      <w:bodyDiv w:val="1"/>
      <w:marLeft w:val="0"/>
      <w:marRight w:val="0"/>
      <w:marTop w:val="0"/>
      <w:marBottom w:val="0"/>
      <w:divBdr>
        <w:top w:val="none" w:sz="0" w:space="0" w:color="auto"/>
        <w:left w:val="none" w:sz="0" w:space="0" w:color="auto"/>
        <w:bottom w:val="none" w:sz="0" w:space="0" w:color="auto"/>
        <w:right w:val="none" w:sz="0" w:space="0" w:color="auto"/>
      </w:divBdr>
    </w:div>
    <w:div w:id="1751077745">
      <w:bodyDiv w:val="1"/>
      <w:marLeft w:val="0"/>
      <w:marRight w:val="0"/>
      <w:marTop w:val="0"/>
      <w:marBottom w:val="0"/>
      <w:divBdr>
        <w:top w:val="none" w:sz="0" w:space="0" w:color="auto"/>
        <w:left w:val="none" w:sz="0" w:space="0" w:color="auto"/>
        <w:bottom w:val="none" w:sz="0" w:space="0" w:color="auto"/>
        <w:right w:val="none" w:sz="0" w:space="0" w:color="auto"/>
      </w:divBdr>
    </w:div>
    <w:div w:id="205268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6835F8DAC2B548A2731835633A3B7E" ma:contentTypeVersion="12" ma:contentTypeDescription="Create a new document." ma:contentTypeScope="" ma:versionID="e59bbe35d0da4381f925a51e0f0362f8">
  <xsd:schema xmlns:xsd="http://www.w3.org/2001/XMLSchema" xmlns:xs="http://www.w3.org/2001/XMLSchema" xmlns:p="http://schemas.microsoft.com/office/2006/metadata/properties" xmlns:ns2="6a14e58d-475b-4d4e-b702-922da87d85f1" xmlns:ns3="cacd50e1-6a48-4c77-849f-d16b32453821" targetNamespace="http://schemas.microsoft.com/office/2006/metadata/properties" ma:root="true" ma:fieldsID="92879f1f9bd17a32eeba5dc09129c65f" ns2:_="" ns3:_="">
    <xsd:import namespace="6a14e58d-475b-4d4e-b702-922da87d85f1"/>
    <xsd:import namespace="cacd50e1-6a48-4c77-849f-d16b324538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4e58d-475b-4d4e-b702-922da87d8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cd50e1-6a48-4c77-849f-d16b324538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826E6-12A6-40A3-9633-E626417B9E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449ECC-904F-4B42-8FC4-EF07F6A0F91B}">
  <ds:schemaRefs>
    <ds:schemaRef ds:uri="http://schemas.openxmlformats.org/officeDocument/2006/bibliography"/>
  </ds:schemaRefs>
</ds:datastoreItem>
</file>

<file path=customXml/itemProps3.xml><?xml version="1.0" encoding="utf-8"?>
<ds:datastoreItem xmlns:ds="http://schemas.openxmlformats.org/officeDocument/2006/customXml" ds:itemID="{413712D3-B468-47A7-9689-FEEA22797D85}">
  <ds:schemaRefs>
    <ds:schemaRef ds:uri="http://schemas.microsoft.com/sharepoint/v3/contenttype/forms"/>
  </ds:schemaRefs>
</ds:datastoreItem>
</file>

<file path=customXml/itemProps4.xml><?xml version="1.0" encoding="utf-8"?>
<ds:datastoreItem xmlns:ds="http://schemas.openxmlformats.org/officeDocument/2006/customXml" ds:itemID="{C83119AC-DEE9-4E27-B596-8331F790E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4e58d-475b-4d4e-b702-922da87d85f1"/>
    <ds:schemaRef ds:uri="cacd50e1-6a48-4c77-849f-d16b32453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orobinson</dc:creator>
  <cp:keywords/>
  <dc:description/>
  <cp:lastModifiedBy>Sophie Romain</cp:lastModifiedBy>
  <cp:revision>2</cp:revision>
  <cp:lastPrinted>2022-03-18T15:10:00Z</cp:lastPrinted>
  <dcterms:created xsi:type="dcterms:W3CDTF">2022-03-18T15:11:00Z</dcterms:created>
  <dcterms:modified xsi:type="dcterms:W3CDTF">2022-03-18T15:11:00Z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0x010100596835F8DAC2B548A2731835633A3B7E</vt:lpwstr>
  </property>
</Properties>
</file>